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700"/>
              <w:left w:type="dxa" w:w="500"/>
              <w:bottom w:type="dxa" w:w="700"/>
              <w:right w:type="dxa" w:w="500"/>
            </w:tcMar>
          </w:tcPr>
          <w:p>
            <w:pPr>
              <w:spacing w:after="120" w:before="0"/>
              <w:jc w:val="center"/>
            </w:pPr>
            <w:r>
              <w:rPr>
                <w:rFonts w:ascii="Arial" w:cs="Arial" w:eastAsia="Arial" w:hAnsi="Arial"/>
                <w:b/>
                <w:bCs/>
                <w:color w:val="FFFFFF"/>
                <w:sz w:val="64"/>
                <w:szCs w:val="64"/>
              </w:rPr>
              <w:t xml:space="preserve">⚖️  Monitor XAI</w:t>
            </w:r>
          </w:p>
          <w:p>
            <w:pPr>
              <w:spacing w:after="80" w:before="0"/>
              <w:jc w:val="center"/>
            </w:pPr>
            <w:r>
              <w:rPr>
                <w:rFonts w:ascii="Arial" w:cs="Arial" w:eastAsia="Arial" w:hAnsi="Arial"/>
                <w:color w:val="06B6D4"/>
                <w:sz w:val="36"/>
                <w:szCs w:val="36"/>
              </w:rPr>
              <w:t xml:space="preserve">Contratos y Licitaciones Públicas</w:t>
            </w:r>
          </w:p>
          <w:p>
            <w:pPr>
              <w:spacing w:after="80" w:before="0"/>
              <w:jc w:val="center"/>
            </w:pPr>
            <w:r>
              <w:rPr>
                <w:rFonts w:ascii="Arial" w:cs="Arial" w:eastAsia="Arial" w:hAnsi="Arial"/>
                <w:color w:val="94A3B8"/>
                <w:sz w:val="28"/>
                <w:szCs w:val="28"/>
              </w:rPr>
              <w:t xml:space="preserve">Instructivo completo de uso</w:t>
            </w:r>
          </w:p>
          <w:p>
            <w:pPr>
              <w:spacing w:after="80" w:before="160"/>
              <w:jc w:val="center"/>
            </w:pPr>
            <w:r>
              <w:rPr>
                <w:rFonts w:ascii="Courier New" w:cs="Courier New" w:eastAsia="Courier New" w:hAnsi="Courier New"/>
                <w:color w:val="3B82F6"/>
                <w:sz w:val="22"/>
                <w:szCs w:val="22"/>
                <w:u w:val="single"/>
              </w:rPr>
              <w:t xml:space="preserve">gobbocomprartgn-production.up.railway.app</w:t>
            </w:r>
          </w:p>
          <w:p>
            <w:pPr>
              <w:spacing w:after="0" w:before="80"/>
              <w:jc w:val="center"/>
            </w:pPr>
            <w:r>
              <w:rPr>
                <w:rFonts w:ascii="Arial" w:cs="Arial" w:eastAsia="Arial" w:hAnsi="Arial"/>
                <w:i/>
                <w:iCs/>
                <w:color w:val="4A5568"/>
                <w:sz w:val="20"/>
                <w:szCs w:val="20"/>
              </w:rPr>
              <w:t xml:space="preserve">Ph.D. Vicente Humberto Monteverde  ·  Algoritmos contra la Corrupción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4B5FD" w:sz="1"/>
              <w:left w:val="single" w:color="C4B5FD" w:sz="1"/>
              <w:bottom w:val="single" w:color="C4B5FD" w:sz="1"/>
              <w:right w:val="single" w:color="C4B5FD" w:sz="1"/>
            </w:tcBorders>
            <w:shd w:fill="EEF2FF" w:val="clear"/>
            <w:tcMar>
              <w:top w:type="dxa" w:w="100"/>
              <w:left w:type="dxa" w:w="140"/>
              <w:bottom w:type="dxa" w:w="100"/>
              <w:right w:type="dxa" w:w="140"/>
            </w:tcMar>
          </w:tcPr>
          <w:p>
            <w:pPr>
              <w:spacing w:after="40" w:before="0"/>
            </w:pPr>
            <w:r>
              <w:rPr>
                <w:rFonts w:ascii="Arial" w:cs="Arial" w:eastAsia="Arial" w:hAnsi="Arial"/>
                <w:b/>
                <w:bCs/>
                <w:color w:val="1E40AF"/>
                <w:sz w:val="18"/>
                <w:szCs w:val="18"/>
              </w:rPr>
              <w:t xml:space="preserve">Versión</w:t>
            </w:r>
          </w:p>
          <w:p>
            <w:pPr>
              <w:spacing w:after="0" w:before="0"/>
            </w:pPr>
            <w:r>
              <w:rPr>
                <w:rFonts w:ascii="Arial" w:cs="Arial" w:eastAsia="Arial" w:hAnsi="Arial"/>
                <w:color w:val="1E1B4B"/>
                <w:sz w:val="20"/>
                <w:szCs w:val="20"/>
              </w:rPr>
              <w:t xml:space="preserve">v1.0 · Monitor XAI</w:t>
            </w:r>
          </w:p>
        </w:tc>
        <w:tc>
          <w:tcPr>
            <w:tcW w:type="dxa" w:w="3120"/>
            <w:tcBorders>
              <w:top w:val="single" w:color="C4B5FD" w:sz="1"/>
              <w:left w:val="single" w:color="C4B5FD" w:sz="1"/>
              <w:bottom w:val="single" w:color="C4B5FD" w:sz="1"/>
              <w:right w:val="single" w:color="C4B5FD" w:sz="1"/>
            </w:tcBorders>
            <w:shd w:fill="EEF2FF" w:val="clear"/>
            <w:tcMar>
              <w:top w:type="dxa" w:w="100"/>
              <w:left w:type="dxa" w:w="140"/>
              <w:bottom w:type="dxa" w:w="100"/>
              <w:right w:type="dxa" w:w="140"/>
            </w:tcMar>
          </w:tcPr>
          <w:p>
            <w:pPr>
              <w:spacing w:after="40" w:before="0"/>
            </w:pPr>
            <w:r>
              <w:rPr>
                <w:rFonts w:ascii="Arial" w:cs="Arial" w:eastAsia="Arial" w:hAnsi="Arial"/>
                <w:b/>
                <w:bCs/>
                <w:color w:val="1E40AF"/>
                <w:sz w:val="18"/>
                <w:szCs w:val="18"/>
              </w:rPr>
              <w:t xml:space="preserve">Tecnología</w:t>
            </w:r>
          </w:p>
          <w:p>
            <w:pPr>
              <w:spacing w:after="0" w:before="0"/>
            </w:pPr>
            <w:r>
              <w:rPr>
                <w:rFonts w:ascii="Arial" w:cs="Arial" w:eastAsia="Arial" w:hAnsi="Arial"/>
                <w:color w:val="1E1B4B"/>
                <w:sz w:val="20"/>
                <w:szCs w:val="20"/>
              </w:rPr>
              <w:t xml:space="preserve">FastAPI + Python</w:t>
            </w:r>
          </w:p>
        </w:tc>
        <w:tc>
          <w:tcPr>
            <w:tcW w:type="dxa" w:w="3120"/>
            <w:tcBorders>
              <w:top w:val="single" w:color="C4B5FD" w:sz="1"/>
              <w:left w:val="single" w:color="C4B5FD" w:sz="1"/>
              <w:bottom w:val="single" w:color="C4B5FD" w:sz="1"/>
              <w:right w:val="single" w:color="C4B5FD" w:sz="1"/>
            </w:tcBorders>
            <w:shd w:fill="EEF2FF" w:val="clear"/>
            <w:tcMar>
              <w:top w:type="dxa" w:w="100"/>
              <w:left w:type="dxa" w:w="140"/>
              <w:bottom w:type="dxa" w:w="100"/>
              <w:right w:type="dxa" w:w="140"/>
            </w:tcMar>
          </w:tcPr>
          <w:p>
            <w:pPr>
              <w:spacing w:after="40" w:before="0"/>
            </w:pPr>
            <w:r>
              <w:rPr>
                <w:rFonts w:ascii="Arial" w:cs="Arial" w:eastAsia="Arial" w:hAnsi="Arial"/>
                <w:b/>
                <w:bCs/>
                <w:color w:val="1E40AF"/>
                <w:sz w:val="18"/>
                <w:szCs w:val="18"/>
              </w:rPr>
              <w:t xml:space="preserve">URL pública</w:t>
            </w:r>
          </w:p>
          <w:p>
            <w:pPr>
              <w:spacing w:after="0" w:before="0"/>
            </w:pPr>
            <w:r>
              <w:rPr>
                <w:rFonts w:ascii="Arial" w:cs="Arial" w:eastAsia="Arial" w:hAnsi="Arial"/>
                <w:color w:val="1E1B4B"/>
                <w:sz w:val="20"/>
                <w:szCs w:val="20"/>
              </w:rPr>
              <w:t xml:space="preserve">Railway (producción)</w:t>
            </w:r>
          </w:p>
        </w:tc>
      </w:tr>
    </w:tbl>
    <w:p>
      <w:pPr>
        <w:spacing w:after="80" w:before="80"/>
      </w:pPr>
      <w:r>
        <w:t xml:space="preserve"/>
      </w:r>
    </w:p>
    <w:p>
      <w:pPr>
        <w:pageBreakBefore/>
      </w:pPr>
      <w:r>
        <w:t xml:space="preserve"/>
      </w:r>
    </w:p>
    <w:p>
      <w:pPr>
        <w:pStyle w:val="Heading1"/>
        <w:spacing w:after="120" w:before="360"/>
      </w:pPr>
      <w:r>
        <w:rPr>
          <w:rFonts w:ascii="Arial" w:cs="Arial" w:eastAsia="Arial" w:hAnsi="Arial"/>
          <w:b/>
          <w:bCs/>
          <w:color w:val="1E1B4B"/>
          <w:sz w:val="36"/>
          <w:szCs w:val="36"/>
        </w:rPr>
        <w:t xml:space="preserve">Índice de contenidos</w:t>
      </w:r>
    </w:p>
    <w:sdt>
      <w:sdtPr>
        <w:alias w:val="Tabla de Contenidos"/>
      </w:sdtPr>
      <w:sdtContent>
        <w:p>
          <w:r>
            <w:fldChar w:fldCharType="begin" w:dirty="true"/>
            <w:instrText xml:space="preserve">TOC \h \o "1-3"</w:instrText>
            <w:fldChar w:fldCharType="separate"/>
          </w:r>
        </w:p>
        <w:p>
          <w:r>
            <w:fldChar w:fldCharType="end"/>
          </w:r>
        </w:p>
      </w:sdtContent>
    </w:sdt>
    <w:p>
      <w:pPr>
        <w:pageBreakBefore/>
      </w:pPr>
      <w:r>
        <w:t xml:space="preserve"/>
      </w:r>
    </w:p>
    <w:p>
      <w:pPr>
        <w:pStyle w:val="Heading1"/>
        <w:spacing w:after="120" w:before="360"/>
      </w:pPr>
      <w:r>
        <w:rPr>
          <w:rFonts w:ascii="Arial" w:cs="Arial" w:eastAsia="Arial" w:hAnsi="Arial"/>
          <w:b/>
          <w:bCs/>
          <w:color w:val="1E1B4B"/>
          <w:sz w:val="36"/>
          <w:szCs w:val="36"/>
        </w:rPr>
        <w:t xml:space="preserve">1. ¿Qué es el Monitor XAI?</w:t>
      </w:r>
    </w:p>
    <w:p>
      <w:pPr>
        <w:spacing w:after="80" w:before="60"/>
      </w:pPr>
      <w:r>
        <w:rPr>
          <w:rFonts w:ascii="Arial" w:cs="Arial" w:eastAsia="Arial" w:hAnsi="Arial"/>
          <w:color w:val="1F1F1F"/>
          <w:sz w:val="22"/>
          <w:szCs w:val="22"/>
        </w:rPr>
        <w:t xml:space="preserve">El Monitor XAI (eXplainable Artificial Intelligence) es una plataforma web de análisis automático del gasto público argentino. Su función principal es detectar patrones de transferencia regresiva de ingresos en las contrataciones del Estado, aplicando una matriz de 7 escenarios desarrollada por el Ph.D. Vicente Humberto Monteverde.</w:t>
      </w:r>
    </w:p>
    <w:p>
      <w:pPr>
        <w:spacing w:after="80" w:before="80"/>
      </w:pPr>
      <w:r>
        <w:t xml:space="preserve"/>
      </w:r>
    </w:p>
    <w:p>
      <w:pPr>
        <w:spacing w:after="80" w:before="60"/>
      </w:pPr>
      <w:r>
        <w:rPr>
          <w:rFonts w:ascii="Arial" w:cs="Arial" w:eastAsia="Arial" w:hAnsi="Arial"/>
          <w:color w:val="1F1F1F"/>
          <w:sz w:val="22"/>
          <w:szCs w:val="22"/>
        </w:rPr>
        <w:t xml:space="preserve">A diferencia de un simple registro de licitaciones, el Monitor XAI cruza tres fuentes de datos oficiales en tiempo real y aplica un índice de discrecionalidad (0-10) a cada proceso detectado:</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A3F6A" w:sz="1"/>
              <w:left w:val="single" w:color="2A3F6A" w:sz="1"/>
              <w:bottom w:val="single" w:color="2A3F6A" w:sz="1"/>
              <w:right w:val="single" w:color="2A3F6A" w:sz="1"/>
            </w:tcBorders>
            <w:shd w:fill="131D35" w:val="clear"/>
            <w:tcMar>
              <w:top w:type="dxa" w:w="160"/>
              <w:left w:type="dxa" w:w="160"/>
              <w:bottom w:type="dxa" w:w="160"/>
              <w:right w:type="dxa" w:w="160"/>
            </w:tcMar>
          </w:tcPr>
          <w:p>
            <w:pPr>
              <w:spacing w:after="60" w:before="0"/>
              <w:jc w:val="center"/>
            </w:pPr>
            <w:r>
              <w:rPr>
                <w:rFonts w:ascii="Arial" w:cs="Arial" w:eastAsia="Arial" w:hAnsi="Arial"/>
                <w:b/>
                <w:bCs/>
                <w:color w:val="06B6D4"/>
                <w:sz w:val="24"/>
                <w:szCs w:val="24"/>
              </w:rPr>
              <w:t xml:space="preserve">📰  BORA</w:t>
            </w:r>
          </w:p>
          <w:p>
            <w:pPr>
              <w:spacing w:after="0" w:before="0"/>
              <w:jc w:val="center"/>
            </w:pPr>
            <w:r>
              <w:rPr>
                <w:rFonts w:ascii="Arial" w:cs="Arial" w:eastAsia="Arial" w:hAnsi="Arial"/>
                <w:color w:val="E2E8F0"/>
                <w:sz w:val="18"/>
                <w:szCs w:val="18"/>
              </w:rPr>
              <w:t xml:space="preserve">Boletín Oficial — Sección 3ra. Publicación de adjudicaciones y licitaciones del día.</w:t>
            </w:r>
          </w:p>
        </w:tc>
        <w:tc>
          <w:tcPr>
            <w:tcW w:type="dxa" w:w="3120"/>
            <w:tcBorders>
              <w:top w:val="single" w:color="2A3F6A" w:sz="1"/>
              <w:left w:val="single" w:color="2A3F6A" w:sz="1"/>
              <w:bottom w:val="single" w:color="2A3F6A" w:sz="1"/>
              <w:right w:val="single" w:color="2A3F6A" w:sz="1"/>
            </w:tcBorders>
            <w:shd w:fill="131D35" w:val="clear"/>
            <w:tcMar>
              <w:top w:type="dxa" w:w="160"/>
              <w:left w:type="dxa" w:w="160"/>
              <w:bottom w:type="dxa" w:w="160"/>
              <w:right w:type="dxa" w:w="160"/>
            </w:tcMar>
          </w:tcPr>
          <w:p>
            <w:pPr>
              <w:spacing w:after="60" w:before="0"/>
              <w:jc w:val="center"/>
            </w:pPr>
            <w:r>
              <w:rPr>
                <w:rFonts w:ascii="Arial" w:cs="Arial" w:eastAsia="Arial" w:hAnsi="Arial"/>
                <w:b/>
                <w:bCs/>
                <w:color w:val="06B6D4"/>
                <w:sz w:val="24"/>
                <w:szCs w:val="24"/>
              </w:rPr>
              <w:t xml:space="preserve">🛒  Comprar.gob.ar</w:t>
            </w:r>
          </w:p>
          <w:p>
            <w:pPr>
              <w:spacing w:after="0" w:before="0"/>
              <w:jc w:val="center"/>
            </w:pPr>
            <w:r>
              <w:rPr>
                <w:rFonts w:ascii="Arial" w:cs="Arial" w:eastAsia="Arial" w:hAnsi="Arial"/>
                <w:color w:val="E2E8F0"/>
                <w:sz w:val="18"/>
                <w:szCs w:val="18"/>
              </w:rPr>
              <w:t xml:space="preserve">Portal de compras públicas. Procesos abiertos, adjudicados y datos del proveedor.</w:t>
            </w:r>
          </w:p>
        </w:tc>
        <w:tc>
          <w:tcPr>
            <w:tcW w:type="dxa" w:w="3120"/>
            <w:tcBorders>
              <w:top w:val="single" w:color="2A3F6A" w:sz="1"/>
              <w:left w:val="single" w:color="2A3F6A" w:sz="1"/>
              <w:bottom w:val="single" w:color="2A3F6A" w:sz="1"/>
              <w:right w:val="single" w:color="2A3F6A" w:sz="1"/>
            </w:tcBorders>
            <w:shd w:fill="131D35" w:val="clear"/>
            <w:tcMar>
              <w:top w:type="dxa" w:w="160"/>
              <w:left w:type="dxa" w:w="160"/>
              <w:bottom w:type="dxa" w:w="160"/>
              <w:right w:type="dxa" w:w="160"/>
            </w:tcMar>
          </w:tcPr>
          <w:p>
            <w:pPr>
              <w:spacing w:after="60" w:before="0"/>
              <w:jc w:val="center"/>
            </w:pPr>
            <w:r>
              <w:rPr>
                <w:rFonts w:ascii="Arial" w:cs="Arial" w:eastAsia="Arial" w:hAnsi="Arial"/>
                <w:b/>
                <w:bCs/>
                <w:color w:val="06B6D4"/>
                <w:sz w:val="24"/>
                <w:szCs w:val="24"/>
              </w:rPr>
              <w:t xml:space="preserve">💰  TGN</w:t>
            </w:r>
          </w:p>
          <w:p>
            <w:pPr>
              <w:spacing w:after="0" w:before="0"/>
              <w:jc w:val="center"/>
            </w:pPr>
            <w:r>
              <w:rPr>
                <w:rFonts w:ascii="Arial" w:cs="Arial" w:eastAsia="Arial" w:hAnsi="Arial"/>
                <w:color w:val="E2E8F0"/>
                <w:sz w:val="18"/>
                <w:szCs w:val="18"/>
              </w:rPr>
              <w:t xml:space="preserve">Tesorería General de la Nación. Confirmación de pagos efectivos por CUIT.</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EFF6FF" w:val="clear"/>
            <w:tcMar>
              <w:top w:type="dxa" w:w="120"/>
              <w:left w:type="dxa" w:w="180"/>
              <w:bottom w:type="dxa" w:w="120"/>
              <w:right w:type="dxa" w:w="180"/>
            </w:tcMar>
          </w:tcPr>
          <w:p>
            <w:pPr>
              <w:spacing w:after="60" w:before="0"/>
            </w:pPr>
            <w:r>
              <w:rPr>
                <w:rFonts w:ascii="Arial" w:cs="Arial" w:eastAsia="Arial" w:hAnsi="Arial"/>
                <w:b/>
                <w:bCs/>
                <w:color w:val="1E40AF"/>
                <w:sz w:val="22"/>
                <w:szCs w:val="22"/>
              </w:rPr>
              <w:t xml:space="preserve">🎯 Objetivo central</w:t>
            </w:r>
          </w:p>
          <w:p>
            <w:pPr>
              <w:spacing w:after="0" w:before="0"/>
            </w:pPr>
            <w:r>
              <w:rPr>
                <w:rFonts w:ascii="Arial" w:cs="Arial" w:eastAsia="Arial" w:hAnsi="Arial"/>
                <w:color w:val="1F1F1F"/>
                <w:sz w:val="20"/>
                <w:szCs w:val="20"/>
              </w:rPr>
              <w:t xml:space="preserve">Identificar en qué contratos el Estado transfiere recursos hacia sectores privados en condiciones que sugieren discrecionalidad, concentración o falta de competencia real.</w:t>
            </w:r>
          </w:p>
        </w:tc>
      </w:tr>
    </w:tbl>
    <w:p>
      <w:pPr>
        <w:spacing w:after="80" w:before="80"/>
      </w:pPr>
      <w:r>
        <w:t xml:space="preserve"/>
      </w:r>
    </w:p>
    <w:p>
      <w:pPr>
        <w:pStyle w:val="Heading1"/>
        <w:spacing w:after="120" w:before="360"/>
      </w:pPr>
      <w:r>
        <w:rPr>
          <w:rFonts w:ascii="Arial" w:cs="Arial" w:eastAsia="Arial" w:hAnsi="Arial"/>
          <w:b/>
          <w:bCs/>
          <w:color w:val="1E1B4B"/>
          <w:sz w:val="36"/>
          <w:szCs w:val="36"/>
        </w:rPr>
        <w:t xml:space="preserve">2. Estructura de navegación</w:t>
      </w:r>
    </w:p>
    <w:p>
      <w:pPr>
        <w:spacing w:after="80" w:before="60"/>
      </w:pPr>
      <w:r>
        <w:rPr>
          <w:rFonts w:ascii="Arial" w:cs="Arial" w:eastAsia="Arial" w:hAnsi="Arial"/>
          <w:color w:val="1F1F1F"/>
          <w:sz w:val="22"/>
          <w:szCs w:val="22"/>
        </w:rPr>
        <w:t xml:space="preserve">El sitio tiene una barra de navegación superior fija con las siguientes secciones: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2A3F6A" w:sz="1"/>
              <w:left w:val="single" w:color="2A3F6A" w:sz="1"/>
              <w:bottom w:val="single" w:color="2A3F6A" w:sz="1"/>
              <w:right w:val="single" w:color="2A3F6A" w:sz="1"/>
            </w:tcBorders>
            <w:shd w:fill="3B82F6" w:val="clear"/>
            <w:tcMar>
              <w:top w:type="dxa" w:w="100"/>
              <w:left w:type="dxa" w:w="100"/>
              <w:bottom w:type="dxa" w:w="100"/>
              <w:right w:type="dxa" w:w="100"/>
            </w:tcMar>
          </w:tcPr>
          <w:p>
            <w:pPr>
              <w:jc w:val="center"/>
            </w:pPr>
            <w:r>
              <w:rPr>
                <w:rFonts w:ascii="Arial" w:cs="Arial" w:eastAsia="Arial" w:hAnsi="Arial"/>
                <w:b/>
                <w:bCs/>
                <w:color w:val="FFFFFF"/>
                <w:sz w:val="20"/>
                <w:szCs w:val="20"/>
              </w:rPr>
              <w:t xml:space="preserve">📊 Dashboard</w:t>
            </w:r>
          </w:p>
        </w:tc>
        <w:tc>
          <w:tcPr>
            <w:tcW w:type="dxa" w:w="1872"/>
            <w:tcBorders>
              <w:top w:val="single" w:color="2A3F6A" w:sz="1"/>
              <w:left w:val="single" w:color="2A3F6A" w:sz="1"/>
              <w:bottom w:val="single" w:color="2A3F6A" w:sz="1"/>
              <w:right w:val="single" w:color="2A3F6A" w:sz="1"/>
            </w:tcBorders>
            <w:shd w:fill="131D35" w:val="clear"/>
            <w:tcMar>
              <w:top w:type="dxa" w:w="100"/>
              <w:left w:type="dxa" w:w="100"/>
              <w:bottom w:type="dxa" w:w="100"/>
              <w:right w:type="dxa" w:w="100"/>
            </w:tcMar>
          </w:tcPr>
          <w:p>
            <w:pPr>
              <w:jc w:val="center"/>
            </w:pPr>
            <w:r>
              <w:rPr>
                <w:rFonts w:ascii="Arial" w:cs="Arial" w:eastAsia="Arial" w:hAnsi="Arial"/>
                <w:b w:val="false"/>
                <w:bCs w:val="false"/>
                <w:color w:val="94A3B8"/>
                <w:sz w:val="20"/>
                <w:szCs w:val="20"/>
              </w:rPr>
              <w:t xml:space="preserve">🚀 Análisis en Vivo</w:t>
            </w:r>
          </w:p>
        </w:tc>
        <w:tc>
          <w:tcPr>
            <w:tcW w:type="dxa" w:w="1872"/>
            <w:tcBorders>
              <w:top w:val="single" w:color="2A3F6A" w:sz="1"/>
              <w:left w:val="single" w:color="2A3F6A" w:sz="1"/>
              <w:bottom w:val="single" w:color="2A3F6A" w:sz="1"/>
              <w:right w:val="single" w:color="2A3F6A" w:sz="1"/>
            </w:tcBorders>
            <w:shd w:fill="131D35" w:val="clear"/>
            <w:tcMar>
              <w:top w:type="dxa" w:w="100"/>
              <w:left w:type="dxa" w:w="100"/>
              <w:bottom w:type="dxa" w:w="100"/>
              <w:right w:type="dxa" w:w="100"/>
            </w:tcMar>
          </w:tcPr>
          <w:p>
            <w:pPr>
              <w:jc w:val="center"/>
            </w:pPr>
            <w:r>
              <w:rPr>
                <w:rFonts w:ascii="Arial" w:cs="Arial" w:eastAsia="Arial" w:hAnsi="Arial"/>
                <w:b w:val="false"/>
                <w:bCs w:val="false"/>
                <w:color w:val="94A3B8"/>
                <w:sz w:val="20"/>
                <w:szCs w:val="20"/>
              </w:rPr>
              <w:t xml:space="preserve">🏛️ Licitaciones</w:t>
            </w:r>
          </w:p>
        </w:tc>
        <w:tc>
          <w:tcPr>
            <w:tcW w:type="dxa" w:w="1872"/>
            <w:tcBorders>
              <w:top w:val="single" w:color="2A3F6A" w:sz="1"/>
              <w:left w:val="single" w:color="2A3F6A" w:sz="1"/>
              <w:bottom w:val="single" w:color="2A3F6A" w:sz="1"/>
              <w:right w:val="single" w:color="2A3F6A" w:sz="1"/>
            </w:tcBorders>
            <w:shd w:fill="131D35" w:val="clear"/>
            <w:tcMar>
              <w:top w:type="dxa" w:w="100"/>
              <w:left w:type="dxa" w:w="100"/>
              <w:bottom w:type="dxa" w:w="100"/>
              <w:right w:type="dxa" w:w="100"/>
            </w:tcMar>
          </w:tcPr>
          <w:p>
            <w:pPr>
              <w:jc w:val="center"/>
            </w:pPr>
            <w:r>
              <w:rPr>
                <w:rFonts w:ascii="Arial" w:cs="Arial" w:eastAsia="Arial" w:hAnsi="Arial"/>
                <w:b w:val="false"/>
                <w:bCs w:val="false"/>
                <w:color w:val="94A3B8"/>
                <w:sz w:val="20"/>
                <w:szCs w:val="20"/>
              </w:rPr>
              <w:t xml:space="preserve">📖 Documentación</w:t>
            </w:r>
          </w:p>
        </w:tc>
        <w:tc>
          <w:tcPr>
            <w:tcW w:type="dxa" w:w="1872"/>
            <w:tcBorders>
              <w:top w:val="single" w:color="2A3F6A" w:sz="1"/>
              <w:left w:val="single" w:color="2A3F6A" w:sz="1"/>
              <w:bottom w:val="single" w:color="2A3F6A" w:sz="1"/>
              <w:right w:val="single" w:color="2A3F6A" w:sz="1"/>
            </w:tcBorders>
            <w:shd w:fill="131D35" w:val="clear"/>
            <w:tcMar>
              <w:top w:type="dxa" w:w="100"/>
              <w:left w:type="dxa" w:w="100"/>
              <w:bottom w:type="dxa" w:w="100"/>
              <w:right w:type="dxa" w:w="100"/>
            </w:tcMar>
          </w:tcPr>
          <w:p>
            <w:pPr>
              <w:jc w:val="center"/>
            </w:pPr>
            <w:r>
              <w:rPr>
                <w:rFonts w:ascii="Arial" w:cs="Arial" w:eastAsia="Arial" w:hAnsi="Arial"/>
                <w:b w:val="false"/>
                <w:bCs w:val="false"/>
                <w:color w:val="94A3B8"/>
                <w:sz w:val="20"/>
                <w:szCs w:val="20"/>
              </w:rPr>
              <w:t xml:space="preserve">🔧 API</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Sección</w:t>
            </w:r>
          </w:p>
        </w:tc>
        <w:tc>
          <w:tcPr>
            <w:tcW w:type="dxa" w:w="30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URL</w:t>
            </w:r>
          </w:p>
        </w:tc>
        <w:tc>
          <w:tcPr>
            <w:tcW w:type="dxa" w:w="416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Función principal</w:t>
            </w:r>
          </w:p>
        </w:tc>
      </w:tr>
      <w:tr>
        <w:tc>
          <w:tcPr>
            <w:tcW w:type="dxa" w:w="22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 Dashboard</w:t>
            </w:r>
          </w:p>
        </w:tc>
        <w:tc>
          <w:tcPr>
            <w:tcW w:type="dxa" w:w="30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Courier New" w:cs="Courier New" w:eastAsia="Courier New" w:hAnsi="Courier New"/>
                <w:color w:val="1D4ED8"/>
                <w:sz w:val="20"/>
                <w:szCs w:val="20"/>
              </w:rPr>
              <w:t xml:space="preserve">/</w:t>
            </w:r>
          </w:p>
        </w:tc>
        <w:tc>
          <w:tcPr>
            <w:tcW w:type="dxa" w:w="41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Resumen ejecutivo con métricas globales y gráficos de distribución</w:t>
            </w:r>
          </w:p>
        </w:tc>
      </w:tr>
      <w:tr>
        <w:tc>
          <w:tcPr>
            <w:tcW w:type="dxa" w:w="22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 Análisis en Vivo</w:t>
            </w:r>
          </w:p>
        </w:tc>
        <w:tc>
          <w:tcPr>
            <w:tcW w:type="dxa" w:w="30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D4ED8"/>
                <w:sz w:val="20"/>
                <w:szCs w:val="20"/>
              </w:rPr>
              <w:t xml:space="preserve">/analisis-vivo</w:t>
            </w:r>
          </w:p>
        </w:tc>
        <w:tc>
          <w:tcPr>
            <w:tcW w:type="dxa" w:w="41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Ejecutar el scraper y aplicar la Matriz XAI sobre un día específico</w:t>
            </w:r>
          </w:p>
        </w:tc>
      </w:tr>
      <w:tr>
        <w:tc>
          <w:tcPr>
            <w:tcW w:type="dxa" w:w="22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 Licitaciones</w:t>
            </w:r>
          </w:p>
        </w:tc>
        <w:tc>
          <w:tcPr>
            <w:tcW w:type="dxa" w:w="30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Courier New" w:cs="Courier New" w:eastAsia="Courier New" w:hAnsi="Courier New"/>
                <w:color w:val="1D4ED8"/>
                <w:sz w:val="20"/>
                <w:szCs w:val="20"/>
              </w:rPr>
              <w:t xml:space="preserve">/licitaciones</w:t>
            </w:r>
          </w:p>
        </w:tc>
        <w:tc>
          <w:tcPr>
            <w:tcW w:type="dxa" w:w="41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Vista completa del flujo BORA → Comprar → TGN con tabla de contratos</w:t>
            </w:r>
          </w:p>
        </w:tc>
      </w:tr>
      <w:tr>
        <w:tc>
          <w:tcPr>
            <w:tcW w:type="dxa" w:w="22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 Documentación</w:t>
            </w:r>
          </w:p>
        </w:tc>
        <w:tc>
          <w:tcPr>
            <w:tcW w:type="dxa" w:w="30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D4ED8"/>
                <w:sz w:val="20"/>
                <w:szCs w:val="20"/>
              </w:rPr>
              <w:t xml:space="preserve">/documentacion</w:t>
            </w:r>
          </w:p>
        </w:tc>
        <w:tc>
          <w:tcPr>
            <w:tcW w:type="dxa" w:w="41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Guía de uso, interpretación de riesgo y los 7 escenarios de la Matriz XAI</w:t>
            </w:r>
          </w:p>
        </w:tc>
      </w:tr>
      <w:tr>
        <w:tc>
          <w:tcPr>
            <w:tcW w:type="dxa" w:w="22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 API (Swagger)</w:t>
            </w:r>
          </w:p>
        </w:tc>
        <w:tc>
          <w:tcPr>
            <w:tcW w:type="dxa" w:w="30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Courier New" w:cs="Courier New" w:eastAsia="Courier New" w:hAnsi="Courier New"/>
                <w:color w:val="1D4ED8"/>
                <w:sz w:val="20"/>
                <w:szCs w:val="20"/>
              </w:rPr>
              <w:t xml:space="preserve">/docs</w:t>
            </w:r>
          </w:p>
        </w:tc>
        <w:tc>
          <w:tcPr>
            <w:tcW w:type="dxa" w:w="41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Documentación técnica de todos los endpoints disponibles</w:t>
            </w:r>
          </w:p>
        </w:tc>
      </w:tr>
    </w:tbl>
    <w:p>
      <w:pPr>
        <w:spacing w:after="80" w:before="80"/>
      </w:pPr>
      <w:r>
        <w:t xml:space="preserve"/>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220"/>
              <w:left w:type="dxa" w:w="280"/>
              <w:bottom w:type="dxa" w:w="220"/>
              <w:right w:type="dxa" w:w="280"/>
            </w:tcMar>
          </w:tcPr>
          <w:p>
            <w:pPr>
              <w:spacing w:after="60" w:before="0"/>
            </w:pPr>
            <w:r>
              <w:rPr>
                <w:rFonts w:ascii="Arial" w:cs="Arial" w:eastAsia="Arial" w:hAnsi="Arial"/>
                <w:b/>
                <w:bCs/>
                <w:color w:val="FFFFFF"/>
                <w:sz w:val="34"/>
                <w:szCs w:val="34"/>
              </w:rPr>
              <w:t xml:space="preserve">📊  3. Dashboard</w:t>
            </w:r>
          </w:p>
          <w:p>
            <w:pPr>
              <w:spacing w:after="0" w:before="0"/>
            </w:pPr>
            <w:r>
              <w:rPr>
                <w:rFonts w:ascii="Arial" w:cs="Arial" w:eastAsia="Arial" w:hAnsi="Arial"/>
                <w:color w:val="94A3B8"/>
                <w:sz w:val="20"/>
                <w:szCs w:val="20"/>
              </w:rPr>
              <w:t xml:space="preserve">Resumen ejecutivo del análisis algorítmico — gobbocomprartgn-production.up.railway.app/</w:t>
            </w:r>
          </w:p>
        </w:tc>
      </w:tr>
    </w:tbl>
    <w:p>
      <w:pPr>
        <w:spacing w:after="80" w:before="80"/>
      </w:pPr>
      <w:r>
        <w:t xml:space="preserve"/>
      </w:r>
    </w:p>
    <w:p>
      <w:pPr>
        <w:spacing w:after="80" w:before="60"/>
      </w:pPr>
      <w:r>
        <w:rPr>
          <w:rFonts w:ascii="Arial" w:cs="Arial" w:eastAsia="Arial" w:hAnsi="Arial"/>
          <w:color w:val="1F1F1F"/>
          <w:sz w:val="22"/>
          <w:szCs w:val="22"/>
        </w:rPr>
        <w:t xml:space="preserve">El Dashboard es la pantalla principal del sistema. Muestra un resumen ejecutivo actualizado con los resultados del último análisis ejecutado. Se accede desde cualquier lugar haciendo clic en el botón 'Dashboard' del menú superior.</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3.1 Métricas principales</w:t>
      </w:r>
    </w:p>
    <w:p>
      <w:pPr>
        <w:spacing w:after="80" w:before="60"/>
      </w:pPr>
      <w:r>
        <w:rPr>
          <w:rFonts w:ascii="Arial" w:cs="Arial" w:eastAsia="Arial" w:hAnsi="Arial"/>
          <w:color w:val="1F1F1F"/>
          <w:sz w:val="22"/>
          <w:szCs w:val="22"/>
        </w:rPr>
        <w:t xml:space="preserve">En la parte superior se muestran cuatro tarjetas con los indicadores clave del sistema:</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A3F6A" w:sz="1"/>
              <w:left w:val="single" w:color="2A3F6A" w:sz="1"/>
              <w:bottom w:val="single" w:color="2A3F6A" w:sz="1"/>
              <w:right w:val="single" w:color="2A3F6A" w:sz="1"/>
            </w:tcBorders>
            <w:shd w:fill="131D35" w:val="clear"/>
            <w:tcMar>
              <w:top w:type="dxa" w:w="140"/>
              <w:left w:type="dxa" w:w="120"/>
              <w:bottom w:type="dxa" w:w="140"/>
              <w:right w:type="dxa" w:w="120"/>
            </w:tcMar>
          </w:tcPr>
          <w:p>
            <w:pPr>
              <w:spacing w:after="40" w:before="0"/>
              <w:jc w:val="center"/>
            </w:pPr>
            <w:r>
              <w:rPr>
                <w:rFonts w:ascii="Arial" w:cs="Arial" w:eastAsia="Arial" w:hAnsi="Arial"/>
                <w:b/>
                <w:bCs/>
                <w:color w:val="94A3B8"/>
                <w:sz w:val="17"/>
                <w:szCs w:val="17"/>
              </w:rPr>
              <w:t xml:space="preserve">PROCESOS ANALIZADOS</w:t>
            </w:r>
          </w:p>
          <w:p>
            <w:pPr>
              <w:spacing w:after="0" w:before="0"/>
              <w:jc w:val="center"/>
            </w:pPr>
            <w:r>
              <w:rPr>
                <w:rFonts w:ascii="Arial" w:cs="Arial" w:eastAsia="Arial" w:hAnsi="Arial"/>
                <w:b/>
                <w:bCs/>
                <w:color w:val="06B6D4"/>
                <w:sz w:val="30"/>
                <w:szCs w:val="30"/>
              </w:rPr>
              <w:t xml:space="preserve">3</w:t>
            </w:r>
          </w:p>
          <w:p>
            <w:pPr>
              <w:spacing w:after="0" w:before="20"/>
              <w:jc w:val="center"/>
            </w:pPr>
            <w:r>
              <w:rPr>
                <w:rFonts w:ascii="Arial" w:cs="Arial" w:eastAsia="Arial" w:hAnsi="Arial"/>
                <w:color w:val="4A5568"/>
                <w:sz w:val="16"/>
                <w:szCs w:val="16"/>
              </w:rPr>
              <w:t xml:space="preserve">total en el período</w:t>
            </w:r>
          </w:p>
        </w:tc>
        <w:tc>
          <w:tcPr>
            <w:tcW w:type="dxa" w:w="2340"/>
            <w:tcBorders>
              <w:top w:val="single" w:color="2A3F6A" w:sz="1"/>
              <w:left w:val="single" w:color="2A3F6A" w:sz="1"/>
              <w:bottom w:val="single" w:color="2A3F6A" w:sz="1"/>
              <w:right w:val="single" w:color="2A3F6A" w:sz="1"/>
            </w:tcBorders>
            <w:shd w:fill="131D35" w:val="clear"/>
            <w:tcMar>
              <w:top w:type="dxa" w:w="140"/>
              <w:left w:type="dxa" w:w="120"/>
              <w:bottom w:type="dxa" w:w="140"/>
              <w:right w:type="dxa" w:w="120"/>
            </w:tcMar>
          </w:tcPr>
          <w:p>
            <w:pPr>
              <w:spacing w:after="40" w:before="0"/>
              <w:jc w:val="center"/>
            </w:pPr>
            <w:r>
              <w:rPr>
                <w:rFonts w:ascii="Arial" w:cs="Arial" w:eastAsia="Arial" w:hAnsi="Arial"/>
                <w:b/>
                <w:bCs/>
                <w:color w:val="94A3B8"/>
                <w:sz w:val="17"/>
                <w:szCs w:val="17"/>
              </w:rPr>
              <w:t xml:space="preserve">INTENSIDAD PROMEDIO</w:t>
            </w:r>
          </w:p>
          <w:p>
            <w:pPr>
              <w:spacing w:after="0" w:before="0"/>
              <w:jc w:val="center"/>
            </w:pPr>
            <w:r>
              <w:rPr>
                <w:rFonts w:ascii="Arial" w:cs="Arial" w:eastAsia="Arial" w:hAnsi="Arial"/>
                <w:b/>
                <w:bCs/>
                <w:color w:val="94A3B8"/>
                <w:sz w:val="30"/>
                <w:szCs w:val="30"/>
              </w:rPr>
              <w:t xml:space="preserve">0/10</w:t>
            </w:r>
          </w:p>
          <w:p>
            <w:pPr>
              <w:spacing w:after="0" w:before="20"/>
              <w:jc w:val="center"/>
            </w:pPr>
            <w:r>
              <w:rPr>
                <w:rFonts w:ascii="Arial" w:cs="Arial" w:eastAsia="Arial" w:hAnsi="Arial"/>
                <w:color w:val="4A5568"/>
                <w:sz w:val="16"/>
                <w:szCs w:val="16"/>
              </w:rPr>
              <w:t xml:space="preserve">índice XAI promedio</w:t>
            </w:r>
          </w:p>
        </w:tc>
        <w:tc>
          <w:tcPr>
            <w:tcW w:type="dxa" w:w="2340"/>
            <w:tcBorders>
              <w:top w:val="single" w:color="2A3F6A" w:sz="1"/>
              <w:left w:val="single" w:color="2A3F6A" w:sz="1"/>
              <w:bottom w:val="single" w:color="2A3F6A" w:sz="1"/>
              <w:right w:val="single" w:color="2A3F6A" w:sz="1"/>
            </w:tcBorders>
            <w:shd w:fill="131D35" w:val="clear"/>
            <w:tcMar>
              <w:top w:type="dxa" w:w="140"/>
              <w:left w:type="dxa" w:w="120"/>
              <w:bottom w:type="dxa" w:w="140"/>
              <w:right w:type="dxa" w:w="120"/>
            </w:tcMar>
          </w:tcPr>
          <w:p>
            <w:pPr>
              <w:spacing w:after="40" w:before="0"/>
              <w:jc w:val="center"/>
            </w:pPr>
            <w:r>
              <w:rPr>
                <w:rFonts w:ascii="Arial" w:cs="Arial" w:eastAsia="Arial" w:hAnsi="Arial"/>
                <w:b/>
                <w:bCs/>
                <w:color w:val="94A3B8"/>
                <w:sz w:val="17"/>
                <w:szCs w:val="17"/>
              </w:rPr>
              <w:t xml:space="preserve">ALERTAS ALTO RIESGO</w:t>
            </w:r>
          </w:p>
          <w:p>
            <w:pPr>
              <w:spacing w:after="0" w:before="0"/>
              <w:jc w:val="center"/>
            </w:pPr>
            <w:r>
              <w:rPr>
                <w:rFonts w:ascii="Arial" w:cs="Arial" w:eastAsia="Arial" w:hAnsi="Arial"/>
                <w:b/>
                <w:bCs/>
                <w:color w:val="EF4444"/>
                <w:sz w:val="30"/>
                <w:szCs w:val="30"/>
              </w:rPr>
              <w:t xml:space="preserve">0</w:t>
            </w:r>
          </w:p>
          <w:p>
            <w:pPr>
              <w:spacing w:after="0" w:before="20"/>
              <w:jc w:val="center"/>
            </w:pPr>
            <w:r>
              <w:rPr>
                <w:rFonts w:ascii="Arial" w:cs="Arial" w:eastAsia="Arial" w:hAnsi="Arial"/>
                <w:color w:val="4A5568"/>
                <w:sz w:val="16"/>
                <w:szCs w:val="16"/>
              </w:rPr>
              <w:t xml:space="preserve">índice &gt; 8</w:t>
            </w:r>
          </w:p>
        </w:tc>
        <w:tc>
          <w:tcPr>
            <w:tcW w:type="dxa" w:w="2340"/>
            <w:tcBorders>
              <w:top w:val="single" w:color="2A3F6A" w:sz="1"/>
              <w:left w:val="single" w:color="2A3F6A" w:sz="1"/>
              <w:bottom w:val="single" w:color="2A3F6A" w:sz="1"/>
              <w:right w:val="single" w:color="2A3F6A" w:sz="1"/>
            </w:tcBorders>
            <w:shd w:fill="131D35" w:val="clear"/>
            <w:tcMar>
              <w:top w:type="dxa" w:w="140"/>
              <w:left w:type="dxa" w:w="120"/>
              <w:bottom w:type="dxa" w:w="140"/>
              <w:right w:type="dxa" w:w="120"/>
            </w:tcMar>
          </w:tcPr>
          <w:p>
            <w:pPr>
              <w:spacing w:after="40" w:before="0"/>
              <w:jc w:val="center"/>
            </w:pPr>
            <w:r>
              <w:rPr>
                <w:rFonts w:ascii="Arial" w:cs="Arial" w:eastAsia="Arial" w:hAnsi="Arial"/>
                <w:b/>
                <w:bCs/>
                <w:color w:val="94A3B8"/>
                <w:sz w:val="17"/>
                <w:szCs w:val="17"/>
              </w:rPr>
              <w:t xml:space="preserve">TOTAL REPORTES</w:t>
            </w:r>
          </w:p>
          <w:p>
            <w:pPr>
              <w:spacing w:after="0" w:before="0"/>
              <w:jc w:val="center"/>
            </w:pPr>
            <w:r>
              <w:rPr>
                <w:rFonts w:ascii="Arial" w:cs="Arial" w:eastAsia="Arial" w:hAnsi="Arial"/>
                <w:b/>
                <w:bCs/>
                <w:color w:val="10B981"/>
                <w:sz w:val="30"/>
                <w:szCs w:val="30"/>
              </w:rPr>
              <w:t xml:space="preserve">1</w:t>
            </w:r>
          </w:p>
          <w:p>
            <w:pPr>
              <w:spacing w:after="0" w:before="20"/>
              <w:jc w:val="center"/>
            </w:pPr>
            <w:r>
              <w:rPr>
                <w:rFonts w:ascii="Arial" w:cs="Arial" w:eastAsia="Arial" w:hAnsi="Arial"/>
                <w:color w:val="4A5568"/>
                <w:sz w:val="16"/>
                <w:szCs w:val="16"/>
              </w:rPr>
              <w:t xml:space="preserve">reportes guardados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Métrica</w:t>
            </w:r>
          </w:p>
        </w:tc>
        <w:tc>
          <w:tcPr>
            <w:tcW w:type="dxa" w:w="656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Descripción</w:t>
            </w:r>
          </w:p>
        </w:tc>
      </w:tr>
      <w:tr>
        <w:tc>
          <w:tcPr>
            <w:tcW w:type="dxa" w:w="28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PROCESOS ANALIZADOS</w:t>
            </w:r>
          </w:p>
        </w:tc>
        <w:tc>
          <w:tcPr>
            <w:tcW w:type="dxa" w:w="6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Cantidad total de licitaciones y contratos procesados por el algoritmo XAI en todos los reportes disponibles.</w:t>
            </w:r>
          </w:p>
        </w:tc>
      </w:tr>
      <w:tr>
        <w:tc>
          <w:tcPr>
            <w:tcW w:type="dxa" w:w="28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INTENSIDAD PROMEDIO</w:t>
            </w:r>
          </w:p>
        </w:tc>
        <w:tc>
          <w:tcPr>
            <w:tcW w:type="dxa" w:w="65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Promedio del índice XAI (0-10) de todos los procesos analizados. Mide el nivel general de discrecionalidad detectada en el período.</w:t>
            </w:r>
          </w:p>
        </w:tc>
      </w:tr>
      <w:tr>
        <w:tc>
          <w:tcPr>
            <w:tcW w:type="dxa" w:w="28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ALERTAS ALTO RIESGO</w:t>
            </w:r>
          </w:p>
        </w:tc>
        <w:tc>
          <w:tcPr>
            <w:tcW w:type="dxa" w:w="6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Cantidad de procesos con índice XAI mayor a 8, que requieren auditoría inmediata según la escala de la Matriz XAI.</w:t>
            </w:r>
          </w:p>
        </w:tc>
      </w:tr>
      <w:tr>
        <w:tc>
          <w:tcPr>
            <w:tcW w:type="dxa" w:w="28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TOTAL REPORTES</w:t>
            </w:r>
          </w:p>
        </w:tc>
        <w:tc>
          <w:tcPr>
            <w:tcW w:type="dxa" w:w="65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Número de reportes diarios generados y almacenados en el sistema. Cada reporte corresponde a una ejecución del análisis en vivo.</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3.2 Último reporte</w:t>
      </w:r>
    </w:p>
    <w:p>
      <w:pPr>
        <w:spacing w:after="80" w:before="60"/>
      </w:pPr>
      <w:r>
        <w:rPr>
          <w:rFonts w:ascii="Arial" w:cs="Arial" w:eastAsia="Arial" w:hAnsi="Arial"/>
          <w:color w:val="1F1F1F"/>
          <w:sz w:val="22"/>
          <w:szCs w:val="22"/>
        </w:rPr>
        <w:t xml:space="preserve">Debajo de las métricas se muestra el nombre del archivo del último reporte generado, por ejemplo: 2026-03 / reporte_2026-03-15.xlsx. Este dato indica la fecha del scraping más reciente disponible en el sistema. Haciendo clic en el link se puede acceder al reporte directamente.</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3.3 Gráficos del Dashboard</w:t>
      </w:r>
    </w:p>
    <w:p>
      <w:pPr>
        <w:pStyle w:val="Heading3"/>
        <w:spacing w:after="80" w:before="200"/>
      </w:pPr>
      <w:r>
        <w:rPr>
          <w:rFonts w:ascii="Arial" w:cs="Arial" w:eastAsia="Arial" w:hAnsi="Arial"/>
          <w:b/>
          <w:bCs/>
          <w:color w:val="1D4ED8"/>
          <w:sz w:val="24"/>
          <w:szCs w:val="24"/>
        </w:rPr>
        <w:t xml:space="preserve">Distribución por Tipo de Fenómeno</w:t>
      </w:r>
    </w:p>
    <w:p>
      <w:pPr>
        <w:spacing w:after="80" w:before="60"/>
      </w:pPr>
      <w:r>
        <w:rPr>
          <w:rFonts w:ascii="Arial" w:cs="Arial" w:eastAsia="Arial" w:hAnsi="Arial"/>
          <w:color w:val="1F1F1F"/>
          <w:sz w:val="22"/>
          <w:szCs w:val="22"/>
        </w:rPr>
        <w:t xml:space="preserve">Gráfico de barras que clasifica los procesos analizados según el tipo de fenómeno corruptivo detectado por la Matriz XAI. Cada barra representa uno de los 7 escenarios de transferencia regresiva (ver Sección 6). Permite identificar qué tipo de fenómeno es más frecuente en el período analizado.</w:t>
      </w:r>
    </w:p>
    <w:p>
      <w:pPr>
        <w:spacing w:after="80" w:before="80"/>
      </w:pPr>
      <w:r>
        <w:t xml:space="preserve"/>
      </w:r>
    </w:p>
    <w:p>
      <w:pPr>
        <w:pStyle w:val="Heading3"/>
        <w:spacing w:after="80" w:before="200"/>
      </w:pPr>
      <w:r>
        <w:rPr>
          <w:rFonts w:ascii="Arial" w:cs="Arial" w:eastAsia="Arial" w:hAnsi="Arial"/>
          <w:b/>
          <w:bCs/>
          <w:color w:val="1D4ED8"/>
          <w:sz w:val="24"/>
          <w:szCs w:val="24"/>
        </w:rPr>
        <w:t xml:space="preserve">Nivel de Riesgo</w:t>
      </w:r>
    </w:p>
    <w:p>
      <w:pPr>
        <w:spacing w:after="80" w:before="60"/>
      </w:pPr>
      <w:r>
        <w:rPr>
          <w:rFonts w:ascii="Arial" w:cs="Arial" w:eastAsia="Arial" w:hAnsi="Arial"/>
          <w:color w:val="1F1F1F"/>
          <w:sz w:val="22"/>
          <w:szCs w:val="22"/>
        </w:rPr>
        <w:t xml:space="preserve">Gráfico de distribución que muestra cuántos procesos caen en cada categoría de riesgo. Complementa el indicador de Alertas Alto Riesgo ofreciendo una vista proporcional de la distribución completa.</w:t>
      </w:r>
    </w:p>
    <w:p>
      <w:pPr>
        <w:spacing w:after="80" w:before="80"/>
      </w:pPr>
      <w:r>
        <w:t xml:space="preserve"/>
      </w:r>
    </w:p>
    <w:p>
      <w:pPr>
        <w:pStyle w:val="Heading3"/>
        <w:spacing w:after="80" w:before="200"/>
      </w:pPr>
      <w:r>
        <w:rPr>
          <w:rFonts w:ascii="Arial" w:cs="Arial" w:eastAsia="Arial" w:hAnsi="Arial"/>
          <w:b/>
          <w:bCs/>
          <w:color w:val="1D4ED8"/>
          <w:sz w:val="24"/>
          <w:szCs w:val="24"/>
        </w:rPr>
        <w:t xml:space="preserve">Detalle del Análisis Algorítmico</w:t>
      </w:r>
    </w:p>
    <w:p>
      <w:pPr>
        <w:spacing w:after="80" w:before="60"/>
      </w:pPr>
      <w:r>
        <w:rPr>
          <w:rFonts w:ascii="Arial" w:cs="Arial" w:eastAsia="Arial" w:hAnsi="Arial"/>
          <w:color w:val="1F1F1F"/>
          <w:sz w:val="22"/>
          <w:szCs w:val="22"/>
        </w:rPr>
        <w:t xml:space="preserve">Tabla expandible con el detalle completo de cada proceso analizado. Muestra el índice XAI individual, el escenario detectado, el organismo, el proveedor y el monto. Si no hay reportes disponibles, muestra el mensaje: 'No hay reportes disponibles. Ejecute un análisis en vivo.'</w:t>
      </w:r>
    </w:p>
    <w:p>
      <w:pPr>
        <w:spacing w:after="80" w:before="80"/>
      </w:pPr>
      <w:r>
        <w:t xml:space="preserve"/>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220"/>
              <w:left w:type="dxa" w:w="280"/>
              <w:bottom w:type="dxa" w:w="220"/>
              <w:right w:type="dxa" w:w="280"/>
            </w:tcMar>
          </w:tcPr>
          <w:p>
            <w:pPr>
              <w:spacing w:after="60" w:before="0"/>
            </w:pPr>
            <w:r>
              <w:rPr>
                <w:rFonts w:ascii="Arial" w:cs="Arial" w:eastAsia="Arial" w:hAnsi="Arial"/>
                <w:b/>
                <w:bCs/>
                <w:color w:val="FFFFFF"/>
                <w:sz w:val="34"/>
                <w:szCs w:val="34"/>
              </w:rPr>
              <w:t xml:space="preserve">🚀  4. Análisis en Vivo</w:t>
            </w:r>
          </w:p>
          <w:p>
            <w:pPr>
              <w:spacing w:after="0" w:before="0"/>
            </w:pPr>
            <w:r>
              <w:rPr>
                <w:rFonts w:ascii="Arial" w:cs="Arial" w:eastAsia="Arial" w:hAnsi="Arial"/>
                <w:color w:val="94A3B8"/>
                <w:sz w:val="20"/>
                <w:szCs w:val="20"/>
              </w:rPr>
              <w:t xml:space="preserve">gobbocomprartgn-production.up.railway.app/analisis-vivo</w:t>
            </w:r>
          </w:p>
        </w:tc>
      </w:tr>
    </w:tbl>
    <w:p>
      <w:pPr>
        <w:spacing w:after="80" w:before="80"/>
      </w:pPr>
      <w:r>
        <w:t xml:space="preserve"/>
      </w:r>
    </w:p>
    <w:p>
      <w:pPr>
        <w:spacing w:after="80" w:before="60"/>
      </w:pPr>
      <w:r>
        <w:rPr>
          <w:rFonts w:ascii="Arial" w:cs="Arial" w:eastAsia="Arial" w:hAnsi="Arial"/>
          <w:color w:val="1F1F1F"/>
          <w:sz w:val="22"/>
          <w:szCs w:val="22"/>
        </w:rPr>
        <w:t xml:space="preserve">Esta es la sección operativa del sistema. Desde aquí se ejecuta el scraper y se aplica la Matriz XAI sobre los datos del día seleccionado. El análisis conecta en tiempo real con Comprar.gob.ar y genera un reporte que queda almacenado en el sistema.</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4.1 Selector de día</w:t>
      </w:r>
    </w:p>
    <w:p>
      <w:pPr>
        <w:spacing w:after="80" w:before="60"/>
      </w:pPr>
      <w:r>
        <w:rPr>
          <w:rFonts w:ascii="Arial" w:cs="Arial" w:eastAsia="Arial" w:hAnsi="Arial"/>
          <w:color w:val="1F1F1F"/>
          <w:sz w:val="22"/>
          <w:szCs w:val="22"/>
        </w:rPr>
        <w:t xml:space="preserve">Se muestra un calendario con botones para cada día hábil disponible, desde el inicio del período hasta la fecha actual. El día con datos ya procesados aparece marcado con un tilde ✓ y resaltado en color. Al seleccionar un día el sistema indica si ya existe un reporte o si es necesario ejecutar el análisis.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F0FDF4" w:val="clear"/>
            <w:tcMar>
              <w:top w:type="dxa" w:w="120"/>
              <w:left w:type="dxa" w:w="180"/>
              <w:bottom w:type="dxa" w:w="120"/>
              <w:right w:type="dxa" w:w="180"/>
            </w:tcMar>
          </w:tcPr>
          <w:p>
            <w:pPr>
              <w:spacing w:after="60" w:before="0"/>
            </w:pPr>
            <w:r>
              <w:rPr>
                <w:rFonts w:ascii="Arial" w:cs="Arial" w:eastAsia="Arial" w:hAnsi="Arial"/>
                <w:b/>
                <w:bCs/>
                <w:color w:val="065F46"/>
                <w:sz w:val="22"/>
                <w:szCs w:val="22"/>
              </w:rPr>
              <w:t xml:space="preserve">📁 Día con reporte existente</w:t>
            </w:r>
          </w:p>
          <w:p>
            <w:pPr>
              <w:spacing w:after="0" w:before="0"/>
            </w:pPr>
            <w:r>
              <w:rPr>
                <w:rFonts w:ascii="Arial" w:cs="Arial" w:eastAsia="Arial" w:hAnsi="Arial"/>
                <w:color w:val="1F1F1F"/>
                <w:sz w:val="20"/>
                <w:szCs w:val="20"/>
              </w:rPr>
              <w:t xml:space="preserve">Si el día seleccionado ya tiene reporte guardado, aparece el mensaje: 'Día XX/XX/XXXX: ya tiene reporte guardado. Podés ver los datos o ejecutar nuevamente para actualizar.'</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4.2 Conexión Directa: Comprar.gob.ar</w:t>
      </w:r>
    </w:p>
    <w:p>
      <w:pPr>
        <w:spacing w:after="80" w:before="60"/>
      </w:pPr>
      <w:r>
        <w:rPr>
          <w:rFonts w:ascii="Arial" w:cs="Arial" w:eastAsia="Arial" w:hAnsi="Arial"/>
          <w:color w:val="1F1F1F"/>
          <w:sz w:val="22"/>
          <w:szCs w:val="22"/>
        </w:rPr>
        <w:t xml:space="preserve">Bloque informativo que describe el proceso técnico que se va a ejecutar. El texto indica: 'Este proceso ejecuta el scraper sobre el portal de compras públicas y aplica la matriz XAI de detección de fenómenos corruptivos. Los resultados se acumulan por día.'</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FFFBEB" w:val="clear"/>
            <w:tcMar>
              <w:top w:type="dxa" w:w="120"/>
              <w:left w:type="dxa" w:w="180"/>
              <w:bottom w:type="dxa" w:w="120"/>
              <w:right w:type="dxa" w:w="180"/>
            </w:tcMar>
          </w:tcPr>
          <w:p>
            <w:pPr>
              <w:spacing w:after="60" w:before="0"/>
            </w:pPr>
            <w:r>
              <w:rPr>
                <w:rFonts w:ascii="Arial" w:cs="Arial" w:eastAsia="Arial" w:hAnsi="Arial"/>
                <w:b/>
                <w:bCs/>
                <w:color w:val="92400E"/>
                <w:sz w:val="22"/>
                <w:szCs w:val="22"/>
              </w:rPr>
              <w:t xml:space="preserve">⚠️ Tiempo de ejecución</w:t>
            </w:r>
          </w:p>
          <w:p>
            <w:pPr>
              <w:spacing w:after="0" w:before="0"/>
            </w:pPr>
            <w:r>
              <w:rPr>
                <w:rFonts w:ascii="Arial" w:cs="Arial" w:eastAsia="Arial" w:hAnsi="Arial"/>
                <w:color w:val="1F1F1F"/>
                <w:sz w:val="20"/>
                <w:szCs w:val="20"/>
              </w:rPr>
              <w:t xml:space="preserve">El análisis puede tardar entre 30 y 90 segundos dependiendo de la disponibilidad del portal. Si ya existe un reporte para el día seleccionado, se mostrará sin volver a ejecutar el scraping.</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4.3 Botón: Iniciar Ciclo de Análisis Completo</w:t>
      </w:r>
    </w:p>
    <w:p>
      <w:pPr>
        <w:spacing w:after="80" w:before="60"/>
      </w:pPr>
      <w:r>
        <w:rPr>
          <w:rFonts w:ascii="Arial" w:cs="Arial" w:eastAsia="Arial" w:hAnsi="Arial"/>
          <w:color w:val="1F1F1F"/>
          <w:sz w:val="22"/>
          <w:szCs w:val="22"/>
        </w:rPr>
        <w:t xml:space="preserve">El botón principal de la sección. Al hacer clic se ejecuta la secuencia completa:</w:t>
      </w:r>
    </w:p>
    <w:p>
      <w:pPr>
        <w:spacing w:after="80" w:before="80"/>
      </w:pPr>
      <w:r>
        <w:t xml:space="preserve"/>
      </w:r>
    </w:p>
    <w:p>
      <w:pPr>
        <w:pStyle w:val="ListParagraph"/>
        <w:numPr>
          <w:ilvl w:val="0"/>
          <w:numId w:val="2"/>
        </w:numPr>
        <w:spacing w:after="40" w:before="40"/>
      </w:pPr>
      <w:r>
        <w:rPr>
          <w:rFonts w:ascii="Arial" w:cs="Arial" w:eastAsia="Arial" w:hAnsi="Arial"/>
          <w:color w:val="1F1F1F"/>
          <w:sz w:val="22"/>
          <w:szCs w:val="22"/>
        </w:rPr>
        <w:t xml:space="preserve">Conexión con Comprar.gob.ar — se accede al portal de compras públicas</w:t>
      </w:r>
    </w:p>
    <w:p>
      <w:pPr>
        <w:pStyle w:val="ListParagraph"/>
        <w:numPr>
          <w:ilvl w:val="0"/>
          <w:numId w:val="2"/>
        </w:numPr>
        <w:spacing w:after="40" w:before="40"/>
      </w:pPr>
      <w:r>
        <w:rPr>
          <w:rFonts w:ascii="Arial" w:cs="Arial" w:eastAsia="Arial" w:hAnsi="Arial"/>
          <w:color w:val="1F1F1F"/>
          <w:sz w:val="22"/>
          <w:szCs w:val="22"/>
        </w:rPr>
        <w:t xml:space="preserve">Extracción de datos — se obtienen los procesos del día seleccionado</w:t>
      </w:r>
    </w:p>
    <w:p>
      <w:pPr>
        <w:pStyle w:val="ListParagraph"/>
        <w:numPr>
          <w:ilvl w:val="0"/>
          <w:numId w:val="2"/>
        </w:numPr>
        <w:spacing w:after="40" w:before="40"/>
      </w:pPr>
      <w:r>
        <w:rPr>
          <w:rFonts w:ascii="Arial" w:cs="Arial" w:eastAsia="Arial" w:hAnsi="Arial"/>
          <w:color w:val="1F1F1F"/>
          <w:sz w:val="22"/>
          <w:szCs w:val="22"/>
        </w:rPr>
        <w:t xml:space="preserve">Cruce con BORA — se verifican las publicaciones del Boletín Oficial</w:t>
      </w:r>
    </w:p>
    <w:p>
      <w:pPr>
        <w:pStyle w:val="ListParagraph"/>
        <w:numPr>
          <w:ilvl w:val="0"/>
          <w:numId w:val="2"/>
        </w:numPr>
        <w:spacing w:after="40" w:before="40"/>
      </w:pPr>
      <w:r>
        <w:rPr>
          <w:rFonts w:ascii="Arial" w:cs="Arial" w:eastAsia="Arial" w:hAnsi="Arial"/>
          <w:color w:val="1F1F1F"/>
          <w:sz w:val="22"/>
          <w:szCs w:val="22"/>
        </w:rPr>
        <w:t xml:space="preserve">Consulta TGN — se verifica si los proveedores cobraron en Tesorería</w:t>
      </w:r>
    </w:p>
    <w:p>
      <w:pPr>
        <w:pStyle w:val="ListParagraph"/>
        <w:numPr>
          <w:ilvl w:val="0"/>
          <w:numId w:val="2"/>
        </w:numPr>
        <w:spacing w:after="40" w:before="40"/>
      </w:pPr>
      <w:r>
        <w:rPr>
          <w:rFonts w:ascii="Arial" w:cs="Arial" w:eastAsia="Arial" w:hAnsi="Arial"/>
          <w:color w:val="1F1F1F"/>
          <w:sz w:val="22"/>
          <w:szCs w:val="22"/>
        </w:rPr>
        <w:t xml:space="preserve">Aplicación Matriz XAI — se calcula el índice de discrecionalidad para cada proceso</w:t>
      </w:r>
    </w:p>
    <w:p>
      <w:pPr>
        <w:pStyle w:val="ListParagraph"/>
        <w:numPr>
          <w:ilvl w:val="0"/>
          <w:numId w:val="2"/>
        </w:numPr>
        <w:spacing w:after="40" w:before="40"/>
      </w:pPr>
      <w:r>
        <w:rPr>
          <w:rFonts w:ascii="Arial" w:cs="Arial" w:eastAsia="Arial" w:hAnsi="Arial"/>
          <w:color w:val="1F1F1F"/>
          <w:sz w:val="22"/>
          <w:szCs w:val="22"/>
        </w:rPr>
        <w:t xml:space="preserve">Generación del reporte — se guarda el Excel con todos los resultados</w:t>
      </w:r>
    </w:p>
    <w:p>
      <w:pPr>
        <w:pStyle w:val="ListParagraph"/>
        <w:numPr>
          <w:ilvl w:val="0"/>
          <w:numId w:val="2"/>
        </w:numPr>
        <w:spacing w:after="40" w:before="40"/>
      </w:pPr>
      <w:r>
        <w:rPr>
          <w:rFonts w:ascii="Arial" w:cs="Arial" w:eastAsia="Arial" w:hAnsi="Arial"/>
          <w:color w:val="1F1F1F"/>
          <w:sz w:val="22"/>
          <w:szCs w:val="22"/>
        </w:rPr>
        <w:t xml:space="preserve">Redireccionamiento — el sistema muestra los resultados en Dashboard y Licitaciones</w:t>
      </w:r>
    </w:p>
    <w:p>
      <w:pPr>
        <w:spacing w:after="80" w:before="80"/>
      </w:pPr>
      <w:r>
        <w:t xml:space="preserve"/>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220"/>
              <w:left w:type="dxa" w:w="280"/>
              <w:bottom w:type="dxa" w:w="220"/>
              <w:right w:type="dxa" w:w="280"/>
            </w:tcMar>
          </w:tcPr>
          <w:p>
            <w:pPr>
              <w:spacing w:after="60" w:before="0"/>
            </w:pPr>
            <w:r>
              <w:rPr>
                <w:rFonts w:ascii="Arial" w:cs="Arial" w:eastAsia="Arial" w:hAnsi="Arial"/>
                <w:b/>
                <w:bCs/>
                <w:color w:val="FFFFFF"/>
                <w:sz w:val="34"/>
                <w:szCs w:val="34"/>
              </w:rPr>
              <w:t xml:space="preserve">🏛️  5. Licitaciones</w:t>
            </w:r>
          </w:p>
          <w:p>
            <w:pPr>
              <w:spacing w:after="0" w:before="0"/>
            </w:pPr>
            <w:r>
              <w:rPr>
                <w:rFonts w:ascii="Arial" w:cs="Arial" w:eastAsia="Arial" w:hAnsi="Arial"/>
                <w:color w:val="94A3B8"/>
                <w:sz w:val="20"/>
                <w:szCs w:val="20"/>
              </w:rPr>
              <w:t xml:space="preserve">gobbocomprartgn-production.up.railway.app/licitaciones</w:t>
            </w:r>
          </w:p>
        </w:tc>
      </w:tr>
    </w:tbl>
    <w:p>
      <w:pPr>
        <w:spacing w:after="80" w:before="80"/>
      </w:pPr>
      <w:r>
        <w:t xml:space="preserve"/>
      </w:r>
    </w:p>
    <w:p>
      <w:pPr>
        <w:spacing w:after="80" w:before="60"/>
      </w:pPr>
      <w:r>
        <w:rPr>
          <w:rFonts w:ascii="Arial" w:cs="Arial" w:eastAsia="Arial" w:hAnsi="Arial"/>
          <w:color w:val="1F1F1F"/>
          <w:sz w:val="22"/>
          <w:szCs w:val="22"/>
        </w:rPr>
        <w:t xml:space="preserve">Esta sección muestra el flujo completo de datos en tiempo real, combinando las tres fuentes (BORA, Comprar, TGN) en una vista unificada. Es la pantalla más informativa del sistema para el seguimiento diario de contratos.</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5.1 Barra de estado</w:t>
      </w:r>
    </w:p>
    <w:p>
      <w:pPr>
        <w:spacing w:after="80" w:before="60"/>
      </w:pPr>
      <w:r>
        <w:rPr>
          <w:rFonts w:ascii="Arial" w:cs="Arial" w:eastAsia="Arial" w:hAnsi="Arial"/>
          <w:color w:val="1F1F1F"/>
          <w:sz w:val="22"/>
          <w:szCs w:val="22"/>
        </w:rPr>
        <w:t xml:space="preserve">En la parte superior aparece la fecha del último procesamiento y las fuentes activas, por ejemplo: 'Datos al: 15/03/2026 · Fuentes: BORA Sección 3ra · Comprar.gob.ar · TGN'. A la derecha hay un botón 'Actualizar datos en vivo' para forzar un nuevo scraping sin ir a la sección de Análisis en Vivo.</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5.2 Flujo de monitoreo BORA → Comprar → TGN</w:t>
      </w:r>
    </w:p>
    <w:p>
      <w:pPr>
        <w:spacing w:after="80" w:before="60"/>
      </w:pPr>
      <w:r>
        <w:rPr>
          <w:rFonts w:ascii="Arial" w:cs="Arial" w:eastAsia="Arial" w:hAnsi="Arial"/>
          <w:color w:val="1F1F1F"/>
          <w:sz w:val="22"/>
          <w:szCs w:val="22"/>
        </w:rPr>
        <w:t xml:space="preserve">Cuatro tarjetas en secuencia que muestran el estado del flujo del día:</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A3F6A" w:sz="1"/>
              <w:left w:val="single" w:color="2A3F6A" w:sz="1"/>
              <w:bottom w:val="single" w:color="2A3F6A" w:sz="1"/>
              <w:right w:val="single" w:color="2A3F6A" w:sz="1"/>
            </w:tcBorders>
            <w:shd w:fill="131D35" w:val="clear"/>
            <w:tcMar>
              <w:top w:type="dxa" w:w="120"/>
              <w:left w:type="dxa" w:w="120"/>
              <w:bottom w:type="dxa" w:w="120"/>
              <w:right w:type="dxa" w:w="120"/>
            </w:tcMar>
          </w:tcPr>
          <w:p>
            <w:pPr>
              <w:spacing w:after="40" w:before="0"/>
            </w:pPr>
            <w:r>
              <w:rPr>
                <w:rFonts w:ascii="Arial" w:cs="Arial" w:eastAsia="Arial" w:hAnsi="Arial"/>
                <w:b/>
                <w:bCs/>
                <w:color w:val="4A5568"/>
                <w:sz w:val="16"/>
                <w:szCs w:val="16"/>
              </w:rPr>
              <w:t xml:space="preserve">BORA · SECCIÓN 3RA</w:t>
            </w:r>
          </w:p>
          <w:p>
            <w:pPr>
              <w:spacing w:after="40" w:before="0"/>
            </w:pPr>
            <w:r>
              <w:rPr>
                <w:rFonts w:ascii="Arial" w:cs="Arial" w:eastAsia="Arial" w:hAnsi="Arial"/>
                <w:b/>
                <w:bCs/>
                <w:color w:val="E2E8F0"/>
                <w:sz w:val="22"/>
                <w:szCs w:val="22"/>
              </w:rPr>
              <w:t xml:space="preserve">Licitaciones</w:t>
            </w:r>
          </w:p>
          <w:p>
            <w:pPr>
              <w:spacing w:after="20" w:before="0"/>
            </w:pPr>
            <w:r>
              <w:rPr>
                <w:rFonts w:ascii="Arial" w:cs="Arial" w:eastAsia="Arial" w:hAnsi="Arial"/>
                <w:b/>
                <w:bCs/>
                <w:color w:val="06B6D4"/>
                <w:sz w:val="36"/>
                <w:szCs w:val="36"/>
              </w:rPr>
              <w:t xml:space="preserve">64</w:t>
            </w:r>
          </w:p>
          <w:p>
            <w:pPr>
              <w:spacing w:after="0" w:before="0"/>
            </w:pPr>
            <w:r>
              <w:rPr>
                <w:rFonts w:ascii="Arial" w:cs="Arial" w:eastAsia="Arial" w:hAnsi="Arial"/>
                <w:color w:val="4A5568"/>
                <w:sz w:val="16"/>
                <w:szCs w:val="16"/>
              </w:rPr>
              <w:t xml:space="preserve">publicadas hoy</w:t>
            </w:r>
          </w:p>
        </w:tc>
        <w:tc>
          <w:tcPr>
            <w:tcW w:type="dxa" w:w="2340"/>
            <w:tcBorders>
              <w:top w:val="single" w:color="2A3F6A" w:sz="1"/>
              <w:left w:val="single" w:color="2A3F6A" w:sz="1"/>
              <w:bottom w:val="single" w:color="2A3F6A" w:sz="1"/>
              <w:right w:val="single" w:color="2A3F6A" w:sz="1"/>
            </w:tcBorders>
            <w:shd w:fill="131D35" w:val="clear"/>
            <w:tcMar>
              <w:top w:type="dxa" w:w="120"/>
              <w:left w:type="dxa" w:w="120"/>
              <w:bottom w:type="dxa" w:w="120"/>
              <w:right w:type="dxa" w:w="120"/>
            </w:tcMar>
          </w:tcPr>
          <w:p>
            <w:pPr>
              <w:spacing w:after="40" w:before="0"/>
            </w:pPr>
            <w:r>
              <w:rPr>
                <w:rFonts w:ascii="Arial" w:cs="Arial" w:eastAsia="Arial" w:hAnsi="Arial"/>
                <w:b/>
                <w:bCs/>
                <w:color w:val="4A5568"/>
                <w:sz w:val="16"/>
                <w:szCs w:val="16"/>
              </w:rPr>
              <w:t xml:space="preserve">COMPRAR.GOB.AR</w:t>
            </w:r>
          </w:p>
          <w:p>
            <w:pPr>
              <w:spacing w:after="40" w:before="0"/>
            </w:pPr>
            <w:r>
              <w:rPr>
                <w:rFonts w:ascii="Arial" w:cs="Arial" w:eastAsia="Arial" w:hAnsi="Arial"/>
                <w:b/>
                <w:bCs/>
                <w:color w:val="E2E8F0"/>
                <w:sz w:val="22"/>
                <w:szCs w:val="22"/>
              </w:rPr>
              <w:t xml:space="preserve">Proceso Abierto</w:t>
            </w:r>
          </w:p>
          <w:p>
            <w:pPr>
              <w:spacing w:after="20" w:before="0"/>
            </w:pPr>
            <w:r>
              <w:rPr>
                <w:rFonts w:ascii="Arial" w:cs="Arial" w:eastAsia="Arial" w:hAnsi="Arial"/>
                <w:b/>
                <w:bCs/>
                <w:color w:val="94A3B8"/>
                <w:sz w:val="36"/>
                <w:szCs w:val="36"/>
              </w:rPr>
              <w:t xml:space="preserve">—</w:t>
            </w:r>
          </w:p>
          <w:p>
            <w:pPr>
              <w:spacing w:after="0" w:before="0"/>
            </w:pPr>
            <w:r>
              <w:rPr>
                <w:rFonts w:ascii="Arial" w:cs="Arial" w:eastAsia="Arial" w:hAnsi="Arial"/>
                <w:color w:val="4A5568"/>
                <w:sz w:val="16"/>
                <w:szCs w:val="16"/>
              </w:rPr>
              <w:t xml:space="preserve">con apertura activa</w:t>
            </w:r>
          </w:p>
        </w:tc>
        <w:tc>
          <w:tcPr>
            <w:tcW w:type="dxa" w:w="2340"/>
            <w:tcBorders>
              <w:top w:val="single" w:color="2A3F6A" w:sz="1"/>
              <w:left w:val="single" w:color="2A3F6A" w:sz="1"/>
              <w:bottom w:val="single" w:color="2A3F6A" w:sz="1"/>
              <w:right w:val="single" w:color="2A3F6A" w:sz="1"/>
            </w:tcBorders>
            <w:shd w:fill="131D35" w:val="clear"/>
            <w:tcMar>
              <w:top w:type="dxa" w:w="120"/>
              <w:left w:type="dxa" w:w="120"/>
              <w:bottom w:type="dxa" w:w="120"/>
              <w:right w:type="dxa" w:w="120"/>
            </w:tcMar>
          </w:tcPr>
          <w:p>
            <w:pPr>
              <w:spacing w:after="40" w:before="0"/>
            </w:pPr>
            <w:r>
              <w:rPr>
                <w:rFonts w:ascii="Arial" w:cs="Arial" w:eastAsia="Arial" w:hAnsi="Arial"/>
                <w:b/>
                <w:bCs/>
                <w:color w:val="4A5568"/>
                <w:sz w:val="16"/>
                <w:szCs w:val="16"/>
              </w:rPr>
              <w:t xml:space="preserve">BORA · ADJUDICACIONES</w:t>
            </w:r>
          </w:p>
          <w:p>
            <w:pPr>
              <w:spacing w:after="40" w:before="0"/>
            </w:pPr>
            <w:r>
              <w:rPr>
                <w:rFonts w:ascii="Arial" w:cs="Arial" w:eastAsia="Arial" w:hAnsi="Arial"/>
                <w:b/>
                <w:bCs/>
                <w:color w:val="E2E8F0"/>
                <w:sz w:val="22"/>
                <w:szCs w:val="22"/>
              </w:rPr>
              <w:t xml:space="preserve">Adjudicadas</w:t>
            </w:r>
          </w:p>
          <w:p>
            <w:pPr>
              <w:spacing w:after="20" w:before="0"/>
            </w:pPr>
            <w:r>
              <w:rPr>
                <w:rFonts w:ascii="Arial" w:cs="Arial" w:eastAsia="Arial" w:hAnsi="Arial"/>
                <w:b/>
                <w:bCs/>
                <w:color w:val="F59E0B"/>
                <w:sz w:val="36"/>
                <w:szCs w:val="36"/>
              </w:rPr>
              <w:t xml:space="preserve">3</w:t>
            </w:r>
          </w:p>
          <w:p>
            <w:pPr>
              <w:spacing w:after="0" w:before="0"/>
            </w:pPr>
            <w:r>
              <w:rPr>
                <w:rFonts w:ascii="Arial" w:cs="Arial" w:eastAsia="Arial" w:hAnsi="Arial"/>
                <w:color w:val="4A5568"/>
                <w:sz w:val="16"/>
                <w:szCs w:val="16"/>
              </w:rPr>
              <w:t xml:space="preserve">CUIT identificado</w:t>
            </w:r>
          </w:p>
        </w:tc>
        <w:tc>
          <w:tcPr>
            <w:tcW w:type="dxa" w:w="2340"/>
            <w:tcBorders>
              <w:top w:val="single" w:color="2A3F6A" w:sz="1"/>
              <w:left w:val="single" w:color="2A3F6A" w:sz="1"/>
              <w:bottom w:val="single" w:color="2A3F6A" w:sz="1"/>
              <w:right w:val="single" w:color="2A3F6A" w:sz="1"/>
            </w:tcBorders>
            <w:shd w:fill="131D35" w:val="clear"/>
            <w:tcMar>
              <w:top w:type="dxa" w:w="120"/>
              <w:left w:type="dxa" w:w="120"/>
              <w:bottom w:type="dxa" w:w="120"/>
              <w:right w:type="dxa" w:w="120"/>
            </w:tcMar>
          </w:tcPr>
          <w:p>
            <w:pPr>
              <w:spacing w:after="40" w:before="0"/>
            </w:pPr>
            <w:r>
              <w:rPr>
                <w:rFonts w:ascii="Arial" w:cs="Arial" w:eastAsia="Arial" w:hAnsi="Arial"/>
                <w:b/>
                <w:bCs/>
                <w:color w:val="4A5568"/>
                <w:sz w:val="16"/>
                <w:szCs w:val="16"/>
              </w:rPr>
              <w:t xml:space="preserve">TGN · TESORERÍA</w:t>
            </w:r>
          </w:p>
          <w:p>
            <w:pPr>
              <w:spacing w:after="40" w:before="0"/>
            </w:pPr>
            <w:r>
              <w:rPr>
                <w:rFonts w:ascii="Arial" w:cs="Arial" w:eastAsia="Arial" w:hAnsi="Arial"/>
                <w:b/>
                <w:bCs/>
                <w:color w:val="E2E8F0"/>
                <w:sz w:val="22"/>
                <w:szCs w:val="22"/>
              </w:rPr>
              <w:t xml:space="preserve">Cobros en TGN</w:t>
            </w:r>
          </w:p>
          <w:p>
            <w:pPr>
              <w:spacing w:after="20" w:before="0"/>
            </w:pPr>
            <w:r>
              <w:rPr>
                <w:rFonts w:ascii="Arial" w:cs="Arial" w:eastAsia="Arial" w:hAnsi="Arial"/>
                <w:b/>
                <w:bCs/>
                <w:color w:val="10B981"/>
                <w:sz w:val="36"/>
                <w:szCs w:val="36"/>
              </w:rPr>
              <w:t xml:space="preserve">—</w:t>
            </w:r>
          </w:p>
          <w:p>
            <w:pPr>
              <w:spacing w:after="0" w:before="0"/>
            </w:pPr>
            <w:r>
              <w:rPr>
                <w:rFonts w:ascii="Arial" w:cs="Arial" w:eastAsia="Arial" w:hAnsi="Arial"/>
                <w:color w:val="4A5568"/>
                <w:sz w:val="16"/>
                <w:szCs w:val="16"/>
              </w:rPr>
              <w:t xml:space="preserve">pagos registrados</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5.3 Métricas secundarias</w:t>
      </w:r>
    </w:p>
    <w:p>
      <w:pPr>
        <w:spacing w:after="80" w:before="60"/>
      </w:pPr>
      <w:r>
        <w:rPr>
          <w:rFonts w:ascii="Arial" w:cs="Arial" w:eastAsia="Arial" w:hAnsi="Arial"/>
          <w:color w:val="1F1F1F"/>
          <w:sz w:val="22"/>
          <w:szCs w:val="22"/>
        </w:rPr>
        <w:t xml:space="preserve">Cuatro contadores adicionales debajo del flujo principal:</w:t>
      </w:r>
    </w:p>
    <w:p>
      <w:pPr>
        <w:spacing w:after="80" w:before="80"/>
      </w:pPr>
      <w:r>
        <w:t xml:space="preserve"/>
      </w:r>
    </w:p>
    <w:p>
      <w:pPr>
        <w:pStyle w:val="ListParagraph"/>
        <w:numPr>
          <w:ilvl w:val="0"/>
          <w:numId w:val="3"/>
        </w:numPr>
        <w:spacing w:after="40" w:before="40"/>
      </w:pPr>
      <w:r>
        <w:rPr>
          <w:rFonts w:ascii="Arial" w:cs="Arial" w:eastAsia="Arial" w:hAnsi="Arial"/>
          <w:b/>
          <w:bCs/>
          <w:color w:val="1E1B4B"/>
          <w:sz w:val="22"/>
          <w:szCs w:val="22"/>
        </w:rPr>
        <w:t xml:space="preserve">TOTAL PUBLICACIONES BORA: </w:t>
      </w:r>
      <w:r>
        <w:rPr>
          <w:rFonts w:ascii="Arial" w:cs="Arial" w:eastAsia="Arial" w:hAnsi="Arial"/>
          <w:color w:val="1F1F1F"/>
          <w:sz w:val="22"/>
          <w:szCs w:val="22"/>
        </w:rPr>
        <w:t xml:space="preserve">Suma de todos los avisos de la Sección 3ra del día, incluyendo licitaciones, adjudicaciones y otros actos</w:t>
      </w:r>
    </w:p>
    <w:p>
      <w:pPr>
        <w:pStyle w:val="ListParagraph"/>
        <w:numPr>
          <w:ilvl w:val="0"/>
          <w:numId w:val="3"/>
        </w:numPr>
        <w:spacing w:after="40" w:before="40"/>
      </w:pPr>
      <w:r>
        <w:rPr>
          <w:rFonts w:ascii="Arial" w:cs="Arial" w:eastAsia="Arial" w:hAnsi="Arial"/>
          <w:b/>
          <w:bCs/>
          <w:color w:val="1E1B4B"/>
          <w:sz w:val="22"/>
          <w:szCs w:val="22"/>
        </w:rPr>
        <w:t xml:space="preserve">CON CUIT EXTRAÍDO: </w:t>
      </w:r>
      <w:r>
        <w:rPr>
          <w:rFonts w:ascii="Arial" w:cs="Arial" w:eastAsia="Arial" w:hAnsi="Arial"/>
          <w:color w:val="1F1F1F"/>
          <w:sz w:val="22"/>
          <w:szCs w:val="22"/>
        </w:rPr>
        <w:t xml:space="preserve">Cantidad de publicaciones en las que el algoritmo pudo identificar el CUIT del proveedor</w:t>
      </w:r>
    </w:p>
    <w:p>
      <w:pPr>
        <w:pStyle w:val="ListParagraph"/>
        <w:numPr>
          <w:ilvl w:val="0"/>
          <w:numId w:val="3"/>
        </w:numPr>
        <w:spacing w:after="40" w:before="40"/>
      </w:pPr>
      <w:r>
        <w:rPr>
          <w:rFonts w:ascii="Arial" w:cs="Arial" w:eastAsia="Arial" w:hAnsi="Arial"/>
          <w:b/>
          <w:bCs/>
          <w:color w:val="1E1B4B"/>
          <w:sz w:val="22"/>
          <w:szCs w:val="22"/>
        </w:rPr>
        <w:t xml:space="preserve">SIN CUIT (PENDIENTES): </w:t>
      </w:r>
      <w:r>
        <w:rPr>
          <w:rFonts w:ascii="Arial" w:cs="Arial" w:eastAsia="Arial" w:hAnsi="Arial"/>
          <w:color w:val="1F1F1F"/>
          <w:sz w:val="22"/>
          <w:szCs w:val="22"/>
        </w:rPr>
        <w:t xml:space="preserve">Publicaciones donde no se pudo extraer el CUIT — requieren revisión manual</w:t>
      </w:r>
    </w:p>
    <w:p>
      <w:pPr>
        <w:pStyle w:val="ListParagraph"/>
        <w:numPr>
          <w:ilvl w:val="0"/>
          <w:numId w:val="3"/>
        </w:numPr>
        <w:spacing w:after="40" w:before="40"/>
      </w:pPr>
      <w:r>
        <w:rPr>
          <w:rFonts w:ascii="Arial" w:cs="Arial" w:eastAsia="Arial" w:hAnsi="Arial"/>
          <w:b/>
          <w:bCs/>
          <w:color w:val="1E1B4B"/>
          <w:sz w:val="22"/>
          <w:szCs w:val="22"/>
        </w:rPr>
        <w:t xml:space="preserve">FLUJO COMPLETO BORA→TGN: </w:t>
      </w:r>
      <w:r>
        <w:rPr>
          <w:rFonts w:ascii="Arial" w:cs="Arial" w:eastAsia="Arial" w:hAnsi="Arial"/>
          <w:color w:val="1F1F1F"/>
          <w:sz w:val="22"/>
          <w:szCs w:val="22"/>
        </w:rPr>
        <w:t xml:space="preserve">Contratos con trazabilidad total: aparecen en BORA, en Comprar.gob.ar y tienen confirmación de cobro en TGN</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5.4 Tabla de Flujo Cruzado</w:t>
      </w:r>
    </w:p>
    <w:p>
      <w:pPr>
        <w:spacing w:after="80" w:before="60"/>
      </w:pPr>
      <w:r>
        <w:rPr>
          <w:rFonts w:ascii="Arial" w:cs="Arial" w:eastAsia="Arial" w:hAnsi="Arial"/>
          <w:color w:val="1F1F1F"/>
          <w:sz w:val="22"/>
          <w:szCs w:val="22"/>
        </w:rPr>
        <w:t xml:space="preserve">Tabla principal de la sección. Muestra cada contrato con su trazabilidad completa a través de los tres sistemas. Las columnas disponibles son: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Columna</w:t>
            </w:r>
          </w:p>
        </w:tc>
        <w:tc>
          <w:tcPr>
            <w:tcW w:type="dxa" w:w="656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Descripción</w:t>
            </w:r>
          </w:p>
        </w:tc>
      </w:tr>
      <w:tr>
        <w:tc>
          <w:tcPr>
            <w:tcW w:type="dxa" w:w="28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Organismo</w:t>
            </w:r>
          </w:p>
        </w:tc>
        <w:tc>
          <w:tcPr>
            <w:tcW w:type="dxa" w:w="6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Nombre del organismo público contratante (ej: EJÉRCITO ARGENTINO, GENDARMERÍA NACIONAL)</w:t>
            </w:r>
          </w:p>
        </w:tc>
      </w:tr>
      <w:tr>
        <w:tc>
          <w:tcPr>
            <w:tcW w:type="dxa" w:w="28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N° Licitación</w:t>
            </w:r>
          </w:p>
        </w:tc>
        <w:tc>
          <w:tcPr>
            <w:tcW w:type="dxa" w:w="65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Número y tipo de proceso licitatorio (ej: Licitación Pública 1148/2025)</w:t>
            </w:r>
          </w:p>
        </w:tc>
      </w:tr>
      <w:tr>
        <w:tc>
          <w:tcPr>
            <w:tcW w:type="dxa" w:w="28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Objeto / Rubro</w:t>
            </w:r>
          </w:p>
        </w:tc>
        <w:tc>
          <w:tcPr>
            <w:tcW w:type="dxa" w:w="6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Descripción del bien o servicio contratado</w:t>
            </w:r>
          </w:p>
        </w:tc>
      </w:tr>
      <w:tr>
        <w:tc>
          <w:tcPr>
            <w:tcW w:type="dxa" w:w="28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En Comprar</w:t>
            </w:r>
          </w:p>
        </w:tc>
        <w:tc>
          <w:tcPr>
            <w:tcW w:type="dxa" w:w="65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Sí / No — indica si el proceso fue encontrado en Comprar.gob.ar</w:t>
            </w:r>
          </w:p>
        </w:tc>
      </w:tr>
      <w:tr>
        <w:tc>
          <w:tcPr>
            <w:tcW w:type="dxa" w:w="280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b/>
                <w:bCs/>
                <w:color w:val="1E1B4B"/>
                <w:sz w:val="20"/>
                <w:szCs w:val="20"/>
              </w:rPr>
              <w:t xml:space="preserve">Cobro TGN</w:t>
            </w:r>
          </w:p>
        </w:tc>
        <w:tc>
          <w:tcPr>
            <w:tcW w:type="dxa" w:w="6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Sí / No — indica si existe registro de pago en Tesorería General</w:t>
            </w:r>
          </w:p>
        </w:tc>
      </w:tr>
      <w:tr>
        <w:tc>
          <w:tcPr>
            <w:tcW w:type="dxa" w:w="28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b/>
                <w:bCs/>
                <w:color w:val="1E1B4B"/>
                <w:sz w:val="20"/>
                <w:szCs w:val="20"/>
              </w:rPr>
              <w:t xml:space="preserve">Link BORA</w:t>
            </w:r>
          </w:p>
        </w:tc>
        <w:tc>
          <w:tcPr>
            <w:tcW w:type="dxa" w:w="656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Arial" w:cs="Arial" w:eastAsia="Arial" w:hAnsi="Arial"/>
                <w:color w:val="1F1F1F"/>
                <w:sz w:val="20"/>
                <w:szCs w:val="20"/>
              </w:rPr>
              <w:t xml:space="preserve">Enlace directo a la publicación original en el Boletín Oficial (ícono de flecha)</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EFF6FF" w:val="clear"/>
            <w:tcMar>
              <w:top w:type="dxa" w:w="120"/>
              <w:left w:type="dxa" w:w="180"/>
              <w:bottom w:type="dxa" w:w="120"/>
              <w:right w:type="dxa" w:w="180"/>
            </w:tcMar>
          </w:tcPr>
          <w:p>
            <w:pPr>
              <w:spacing w:after="60" w:before="0"/>
            </w:pPr>
            <w:r>
              <w:rPr>
                <w:rFonts w:ascii="Arial" w:cs="Arial" w:eastAsia="Arial" w:hAnsi="Arial"/>
                <w:b/>
                <w:bCs/>
                <w:color w:val="1E40AF"/>
                <w:sz w:val="22"/>
                <w:szCs w:val="22"/>
              </w:rPr>
              <w:t xml:space="preserve">💡 Filtro por alerta</w:t>
            </w:r>
          </w:p>
          <w:p>
            <w:pPr>
              <w:spacing w:after="0" w:before="0"/>
            </w:pPr>
            <w:r>
              <w:rPr>
                <w:rFonts w:ascii="Arial" w:cs="Arial" w:eastAsia="Arial" w:hAnsi="Arial"/>
                <w:color w:val="1F1F1F"/>
                <w:sz w:val="20"/>
                <w:szCs w:val="20"/>
              </w:rPr>
              <w:t xml:space="preserve">En la esquina superior derecha de la tabla hay un selector 'Todos / Reset' que permite filtrar los contratos por tipo de alerta detectada. Usalo para aislar rápidamente los casos de mayor riesgo.</w:t>
            </w:r>
          </w:p>
        </w:tc>
      </w:tr>
    </w:tbl>
    <w:p>
      <w:pPr>
        <w:spacing w:after="80" w:before="80"/>
      </w:pPr>
      <w:r>
        <w:t xml:space="preserve"/>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220"/>
              <w:left w:type="dxa" w:w="280"/>
              <w:bottom w:type="dxa" w:w="220"/>
              <w:right w:type="dxa" w:w="280"/>
            </w:tcMar>
          </w:tcPr>
          <w:p>
            <w:pPr>
              <w:spacing w:after="60" w:before="0"/>
            </w:pPr>
            <w:r>
              <w:rPr>
                <w:rFonts w:ascii="Arial" w:cs="Arial" w:eastAsia="Arial" w:hAnsi="Arial"/>
                <w:b/>
                <w:bCs/>
                <w:color w:val="FFFFFF"/>
                <w:sz w:val="34"/>
                <w:szCs w:val="34"/>
              </w:rPr>
              <w:t xml:space="preserve">📖  6. Documentación</w:t>
            </w:r>
          </w:p>
          <w:p>
            <w:pPr>
              <w:spacing w:after="0" w:before="0"/>
            </w:pPr>
            <w:r>
              <w:rPr>
                <w:rFonts w:ascii="Arial" w:cs="Arial" w:eastAsia="Arial" w:hAnsi="Arial"/>
                <w:color w:val="94A3B8"/>
                <w:sz w:val="20"/>
                <w:szCs w:val="20"/>
              </w:rPr>
              <w:t xml:space="preserve">gobbocomprartgn-production.up.railway.app/documentacion</w:t>
            </w:r>
          </w:p>
        </w:tc>
      </w:tr>
    </w:tbl>
    <w:p>
      <w:pPr>
        <w:spacing w:after="80" w:before="80"/>
      </w:pPr>
      <w:r>
        <w:t xml:space="preserve"/>
      </w:r>
    </w:p>
    <w:p>
      <w:pPr>
        <w:spacing w:after="80" w:before="60"/>
      </w:pPr>
      <w:r>
        <w:rPr>
          <w:rFonts w:ascii="Arial" w:cs="Arial" w:eastAsia="Arial" w:hAnsi="Arial"/>
          <w:color w:val="1F1F1F"/>
          <w:sz w:val="22"/>
          <w:szCs w:val="22"/>
        </w:rPr>
        <w:t xml:space="preserve">La sección de Documentación explica el marco teórico del sistema, cómo interpretar los resultados y la fundamentación académica de los algoritmos.</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6.1 Guía de uso — operación del sistema</w:t>
      </w:r>
    </w:p>
    <w:p>
      <w:pPr>
        <w:spacing w:after="80" w:before="60"/>
      </w:pPr>
      <w:r>
        <w:rPr>
          <w:rFonts w:ascii="Arial" w:cs="Arial" w:eastAsia="Arial" w:hAnsi="Arial"/>
          <w:color w:val="1F1F1F"/>
          <w:sz w:val="22"/>
          <w:szCs w:val="22"/>
        </w:rPr>
        <w:t xml:space="preserve">Resumen de 3 pasos para operar el Monitor XAI:</w:t>
      </w:r>
    </w:p>
    <w:p>
      <w:pPr>
        <w:spacing w:after="80" w:before="80"/>
      </w:pPr>
      <w:r>
        <w:t xml:space="preserve"/>
      </w:r>
    </w:p>
    <w:p>
      <w:pPr>
        <w:pStyle w:val="ListParagraph"/>
        <w:numPr>
          <w:ilvl w:val="0"/>
          <w:numId w:val="2"/>
        </w:numPr>
        <w:spacing w:after="40" w:before="40"/>
      </w:pPr>
      <w:r>
        <w:rPr>
          <w:rFonts w:ascii="Arial" w:cs="Arial" w:eastAsia="Arial" w:hAnsi="Arial"/>
          <w:color w:val="1F1F1F"/>
          <w:sz w:val="22"/>
          <w:szCs w:val="22"/>
        </w:rPr>
        <w:t xml:space="preserve">Ir a Análisis en Vivo y pulsar el botón 🚀 para ejecutar el scraping del día</w:t>
      </w:r>
    </w:p>
    <w:p>
      <w:pPr>
        <w:pStyle w:val="ListParagraph"/>
        <w:numPr>
          <w:ilvl w:val="0"/>
          <w:numId w:val="2"/>
        </w:numPr>
        <w:spacing w:after="40" w:before="40"/>
      </w:pPr>
      <w:r>
        <w:rPr>
          <w:rFonts w:ascii="Arial" w:cs="Arial" w:eastAsia="Arial" w:hAnsi="Arial"/>
          <w:color w:val="1F1F1F"/>
          <w:sz w:val="22"/>
          <w:szCs w:val="22"/>
        </w:rPr>
        <w:t xml:space="preserve">En Dashboard visualizar los resultados del análisis con las métricas y gráficos</w:t>
      </w:r>
    </w:p>
    <w:p>
      <w:pPr>
        <w:pStyle w:val="ListParagraph"/>
        <w:numPr>
          <w:ilvl w:val="0"/>
          <w:numId w:val="2"/>
        </w:numPr>
        <w:spacing w:after="40" w:before="40"/>
      </w:pPr>
      <w:r>
        <w:rPr>
          <w:rFonts w:ascii="Arial" w:cs="Arial" w:eastAsia="Arial" w:hAnsi="Arial"/>
          <w:color w:val="1F1F1F"/>
          <w:sz w:val="22"/>
          <w:szCs w:val="22"/>
        </w:rPr>
        <w:t xml:space="preserve">Ordenar por Índice XAI para identificar los casos más críticos</w:t>
      </w:r>
    </w:p>
    <w:p>
      <w:pPr>
        <w:spacing w:after="80" w:before="80"/>
      </w:pPr>
      <w:r>
        <w:t xml:space="preserve"/>
      </w:r>
    </w:p>
    <w:p>
      <w:pPr>
        <w:pStyle w:val="Heading2"/>
        <w:spacing w:after="100" w:before="280"/>
      </w:pPr>
      <w:r>
        <w:rPr>
          <w:rFonts w:ascii="Arial" w:cs="Arial" w:eastAsia="Arial" w:hAnsi="Arial"/>
          <w:b/>
          <w:bCs/>
          <w:color w:val="1E40AF"/>
          <w:sz w:val="28"/>
          <w:szCs w:val="28"/>
        </w:rPr>
        <w:t xml:space="preserve">6.2 Interpretación del índice de riesgo</w:t>
      </w:r>
    </w:p>
    <w:p>
      <w:pPr>
        <w:spacing w:after="80" w:before="60"/>
      </w:pPr>
      <w:r>
        <w:rPr>
          <w:rFonts w:ascii="Arial" w:cs="Arial" w:eastAsia="Arial" w:hAnsi="Arial"/>
          <w:color w:val="1F1F1F"/>
          <w:sz w:val="22"/>
          <w:szCs w:val="22"/>
        </w:rPr>
        <w:t xml:space="preserve">El índice XAI es un número del 0 al 10 que mide el nivel de discrecionalidad detectado en cada proceso licitatorio. La escala 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c>
          <w:tcPr>
            <w:tcW w:type="dxa" w:w="20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Rango</w:t>
            </w:r>
          </w:p>
        </w:tc>
        <w:tc>
          <w:tcPr>
            <w:tcW w:type="dxa" w:w="28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Nivel</w:t>
            </w:r>
          </w:p>
        </w:tc>
        <w:tc>
          <w:tcPr>
            <w:tcW w:type="dxa" w:w="456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Acción recomendada</w:t>
            </w:r>
          </w:p>
        </w:tc>
      </w:tr>
      <w:tr>
        <w:tc>
          <w:tcPr>
            <w:tcW w:type="dxa" w:w="2000"/>
            <w:tcBorders>
              <w:top w:val="single" w:color="C4B5FD" w:sz="1"/>
              <w:left w:val="single" w:color="C4B5FD" w:sz="1"/>
              <w:bottom w:val="single" w:color="C4B5FD" w:sz="1"/>
              <w:right w:val="single" w:color="C4B5FD" w:sz="1"/>
            </w:tcBorders>
            <w:shd w:fill="FEE2E2" w:val="clear"/>
            <w:tcMar>
              <w:top w:type="dxa" w:w="80"/>
              <w:left w:type="dxa" w:w="120"/>
              <w:bottom w:type="dxa" w:w="80"/>
              <w:right w:type="dxa" w:w="120"/>
            </w:tcMar>
          </w:tcPr>
          <w:p>
            <w:r>
              <w:rPr>
                <w:rFonts w:ascii="Arial" w:cs="Arial" w:eastAsia="Arial" w:hAnsi="Arial"/>
                <w:b/>
                <w:bCs/>
                <w:color w:val="EF4444"/>
                <w:sz w:val="24"/>
                <w:szCs w:val="24"/>
              </w:rPr>
              <w:t xml:space="preserve">8 – 10</w:t>
            </w:r>
          </w:p>
        </w:tc>
        <w:tc>
          <w:tcPr>
            <w:tcW w:type="dxa" w:w="2800"/>
            <w:tcBorders>
              <w:top w:val="single" w:color="C4B5FD" w:sz="1"/>
              <w:left w:val="single" w:color="C4B5FD" w:sz="1"/>
              <w:bottom w:val="single" w:color="C4B5FD" w:sz="1"/>
              <w:right w:val="single" w:color="C4B5FD" w:sz="1"/>
            </w:tcBorders>
            <w:shd w:fill="FEE2E2" w:val="clear"/>
            <w:tcMar>
              <w:top w:type="dxa" w:w="80"/>
              <w:left w:type="dxa" w:w="120"/>
              <w:bottom w:type="dxa" w:w="80"/>
              <w:right w:type="dxa" w:w="120"/>
            </w:tcMar>
          </w:tcPr>
          <w:p>
            <w:r>
              <w:rPr>
                <w:rFonts w:ascii="Arial" w:cs="Arial" w:eastAsia="Arial" w:hAnsi="Arial"/>
                <w:b/>
                <w:bCs/>
                <w:color w:val="EF4444"/>
                <w:sz w:val="22"/>
                <w:szCs w:val="22"/>
              </w:rPr>
              <w:t xml:space="preserve">🔴 Alto</w:t>
            </w:r>
          </w:p>
        </w:tc>
        <w:tc>
          <w:tcPr>
            <w:tcW w:type="dxa" w:w="4560"/>
            <w:tcBorders>
              <w:top w:val="single" w:color="C4B5FD" w:sz="1"/>
              <w:left w:val="single" w:color="C4B5FD" w:sz="1"/>
              <w:bottom w:val="single" w:color="C4B5FD" w:sz="1"/>
              <w:right w:val="single" w:color="C4B5FD" w:sz="1"/>
            </w:tcBorders>
            <w:shd w:fill="FFFFFF" w:val="clear"/>
            <w:tcMar>
              <w:top w:type="dxa" w:w="80"/>
              <w:left w:type="dxa" w:w="120"/>
              <w:bottom w:type="dxa" w:w="80"/>
              <w:right w:type="dxa" w:w="120"/>
            </w:tcMar>
          </w:tcPr>
          <w:p>
            <w:r>
              <w:rPr>
                <w:rFonts w:ascii="Arial" w:cs="Arial" w:eastAsia="Arial" w:hAnsi="Arial"/>
                <w:color w:val="1F1F1F"/>
                <w:sz w:val="20"/>
                <w:szCs w:val="20"/>
              </w:rPr>
              <w:t xml:space="preserve">Requiere auditoría inmediata. Alta probabilidad de transferencia regresiva de ingresos.</w:t>
            </w:r>
          </w:p>
        </w:tc>
      </w:tr>
      <w:tr>
        <w:tc>
          <w:tcPr>
            <w:tcW w:type="dxa" w:w="2000"/>
            <w:tcBorders>
              <w:top w:val="single" w:color="C4B5FD" w:sz="1"/>
              <w:left w:val="single" w:color="C4B5FD" w:sz="1"/>
              <w:bottom w:val="single" w:color="C4B5FD" w:sz="1"/>
              <w:right w:val="single" w:color="C4B5FD" w:sz="1"/>
            </w:tcBorders>
            <w:shd w:fill="FEF3C7" w:val="clear"/>
            <w:tcMar>
              <w:top w:type="dxa" w:w="80"/>
              <w:left w:type="dxa" w:w="120"/>
              <w:bottom w:type="dxa" w:w="80"/>
              <w:right w:type="dxa" w:w="120"/>
            </w:tcMar>
          </w:tcPr>
          <w:p>
            <w:r>
              <w:rPr>
                <w:rFonts w:ascii="Arial" w:cs="Arial" w:eastAsia="Arial" w:hAnsi="Arial"/>
                <w:b/>
                <w:bCs/>
                <w:color w:val="D97706"/>
                <w:sz w:val="24"/>
                <w:szCs w:val="24"/>
              </w:rPr>
              <w:t xml:space="preserve">5 – 7</w:t>
            </w:r>
          </w:p>
        </w:tc>
        <w:tc>
          <w:tcPr>
            <w:tcW w:type="dxa" w:w="2800"/>
            <w:tcBorders>
              <w:top w:val="single" w:color="C4B5FD" w:sz="1"/>
              <w:left w:val="single" w:color="C4B5FD" w:sz="1"/>
              <w:bottom w:val="single" w:color="C4B5FD" w:sz="1"/>
              <w:right w:val="single" w:color="C4B5FD" w:sz="1"/>
            </w:tcBorders>
            <w:shd w:fill="FEF3C7" w:val="clear"/>
            <w:tcMar>
              <w:top w:type="dxa" w:w="80"/>
              <w:left w:type="dxa" w:w="120"/>
              <w:bottom w:type="dxa" w:w="80"/>
              <w:right w:type="dxa" w:w="120"/>
            </w:tcMar>
          </w:tcPr>
          <w:p>
            <w:r>
              <w:rPr>
                <w:rFonts w:ascii="Arial" w:cs="Arial" w:eastAsia="Arial" w:hAnsi="Arial"/>
                <w:b/>
                <w:bCs/>
                <w:color w:val="D97706"/>
                <w:sz w:val="22"/>
                <w:szCs w:val="22"/>
              </w:rPr>
              <w:t xml:space="preserve">🟡 Medio</w:t>
            </w:r>
          </w:p>
        </w:tc>
        <w:tc>
          <w:tcPr>
            <w:tcW w:type="dxa" w:w="4560"/>
            <w:tcBorders>
              <w:top w:val="single" w:color="C4B5FD" w:sz="1"/>
              <w:left w:val="single" w:color="C4B5FD" w:sz="1"/>
              <w:bottom w:val="single" w:color="C4B5FD" w:sz="1"/>
              <w:right w:val="single" w:color="C4B5FD" w:sz="1"/>
            </w:tcBorders>
            <w:shd w:fill="F8FAFC" w:val="clear"/>
            <w:tcMar>
              <w:top w:type="dxa" w:w="80"/>
              <w:left w:type="dxa" w:w="120"/>
              <w:bottom w:type="dxa" w:w="80"/>
              <w:right w:type="dxa" w:w="120"/>
            </w:tcMar>
          </w:tcPr>
          <w:p>
            <w:r>
              <w:rPr>
                <w:rFonts w:ascii="Arial" w:cs="Arial" w:eastAsia="Arial" w:hAnsi="Arial"/>
                <w:color w:val="1F1F1F"/>
                <w:sz w:val="20"/>
                <w:szCs w:val="20"/>
              </w:rPr>
              <w:t xml:space="preserve">Requiere revisión. Indicadores moderados de discrecionalidad. Seguimiento recomendado.</w:t>
            </w:r>
          </w:p>
        </w:tc>
      </w:tr>
      <w:tr>
        <w:tc>
          <w:tcPr>
            <w:tcW w:type="dxa" w:w="2000"/>
            <w:tcBorders>
              <w:top w:val="single" w:color="C4B5FD" w:sz="1"/>
              <w:left w:val="single" w:color="C4B5FD" w:sz="1"/>
              <w:bottom w:val="single" w:color="C4B5FD" w:sz="1"/>
              <w:right w:val="single" w:color="C4B5FD" w:sz="1"/>
            </w:tcBorders>
            <w:shd w:fill="DBEAFE" w:val="clear"/>
            <w:tcMar>
              <w:top w:type="dxa" w:w="80"/>
              <w:left w:type="dxa" w:w="120"/>
              <w:bottom w:type="dxa" w:w="80"/>
              <w:right w:type="dxa" w:w="120"/>
            </w:tcMar>
          </w:tcPr>
          <w:p>
            <w:r>
              <w:rPr>
                <w:rFonts w:ascii="Arial" w:cs="Arial" w:eastAsia="Arial" w:hAnsi="Arial"/>
                <w:b/>
                <w:bCs/>
                <w:color w:val="3B82F6"/>
                <w:sz w:val="24"/>
                <w:szCs w:val="24"/>
              </w:rPr>
              <w:t xml:space="preserve">0 – 4</w:t>
            </w:r>
          </w:p>
        </w:tc>
        <w:tc>
          <w:tcPr>
            <w:tcW w:type="dxa" w:w="2800"/>
            <w:tcBorders>
              <w:top w:val="single" w:color="C4B5FD" w:sz="1"/>
              <w:left w:val="single" w:color="C4B5FD" w:sz="1"/>
              <w:bottom w:val="single" w:color="C4B5FD" w:sz="1"/>
              <w:right w:val="single" w:color="C4B5FD" w:sz="1"/>
            </w:tcBorders>
            <w:shd w:fill="DBEAFE" w:val="clear"/>
            <w:tcMar>
              <w:top w:type="dxa" w:w="80"/>
              <w:left w:type="dxa" w:w="120"/>
              <w:bottom w:type="dxa" w:w="80"/>
              <w:right w:type="dxa" w:w="120"/>
            </w:tcMar>
          </w:tcPr>
          <w:p>
            <w:r>
              <w:rPr>
                <w:rFonts w:ascii="Arial" w:cs="Arial" w:eastAsia="Arial" w:hAnsi="Arial"/>
                <w:b/>
                <w:bCs/>
                <w:color w:val="3B82F6"/>
                <w:sz w:val="22"/>
                <w:szCs w:val="22"/>
              </w:rPr>
              <w:t xml:space="preserve">🔵 Bajo</w:t>
            </w:r>
          </w:p>
        </w:tc>
        <w:tc>
          <w:tcPr>
            <w:tcW w:type="dxa" w:w="4560"/>
            <w:tcBorders>
              <w:top w:val="single" w:color="C4B5FD" w:sz="1"/>
              <w:left w:val="single" w:color="C4B5FD" w:sz="1"/>
              <w:bottom w:val="single" w:color="C4B5FD" w:sz="1"/>
              <w:right w:val="single" w:color="C4B5FD" w:sz="1"/>
            </w:tcBorders>
            <w:shd w:fill="FFFFFF" w:val="clear"/>
            <w:tcMar>
              <w:top w:type="dxa" w:w="80"/>
              <w:left w:type="dxa" w:w="120"/>
              <w:bottom w:type="dxa" w:w="80"/>
              <w:right w:type="dxa" w:w="120"/>
            </w:tcMar>
          </w:tcPr>
          <w:p>
            <w:r>
              <w:rPr>
                <w:rFonts w:ascii="Arial" w:cs="Arial" w:eastAsia="Arial" w:hAnsi="Arial"/>
                <w:color w:val="1F1F1F"/>
                <w:sz w:val="20"/>
                <w:szCs w:val="20"/>
              </w:rPr>
              <w:t xml:space="preserve">Estándares normales. No se detectaron patrones significativos de riesgo.</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6.3 Los 7 Escenarios de la Matriz XAI</w:t>
      </w:r>
    </w:p>
    <w:p>
      <w:pPr>
        <w:spacing w:after="80" w:before="60"/>
      </w:pPr>
      <w:r>
        <w:rPr>
          <w:rFonts w:ascii="Arial" w:cs="Arial" w:eastAsia="Arial" w:hAnsi="Arial"/>
          <w:color w:val="1F1F1F"/>
          <w:sz w:val="22"/>
          <w:szCs w:val="22"/>
        </w:rPr>
        <w:t xml:space="preserve">El núcleo del sistema es la Matriz XAI, que clasifica los fenómenos de transferencia regresiva en 7 escenarios con distinto peso algorítmico. Cada escenario recibe un peso que determina su contribución al índice final:</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2160"/>
      </w:tblGrid>
      <w:tr>
        <w:tc>
          <w:tcPr>
            <w:tcW w:type="dxa" w:w="3600"/>
            <w:tcBorders>
              <w:top w:val="single" w:color="C4B5FD" w:sz="1"/>
              <w:left w:val="single" w:color="C4B5FD" w:sz="1"/>
              <w:bottom w:val="single" w:color="C4B5FD" w:sz="1"/>
              <w:right w:val="single" w:color="C4B5FD" w:sz="1"/>
            </w:tcBorders>
            <w:shd w:fill="0A0E1A" w:val="clear"/>
            <w:tcMar>
              <w:top w:type="dxa" w:w="100"/>
              <w:left w:type="dxa" w:w="140"/>
              <w:bottom w:type="dxa" w:w="100"/>
              <w:right w:type="dxa" w:w="140"/>
            </w:tcMar>
          </w:tcPr>
          <w:p>
            <w:r>
              <w:rPr>
                <w:rFonts w:ascii="Arial" w:cs="Arial" w:eastAsia="Arial" w:hAnsi="Arial"/>
                <w:b/>
                <w:bCs/>
                <w:color w:val="FFFFFF"/>
                <w:sz w:val="20"/>
                <w:szCs w:val="20"/>
              </w:rPr>
              <w:t xml:space="preserve">Escenario</w:t>
            </w:r>
          </w:p>
        </w:tc>
        <w:tc>
          <w:tcPr>
            <w:tcW w:type="dxa" w:w="3600"/>
            <w:tcBorders>
              <w:top w:val="single" w:color="C4B5FD" w:sz="1"/>
              <w:left w:val="single" w:color="C4B5FD" w:sz="1"/>
              <w:bottom w:val="single" w:color="C4B5FD" w:sz="1"/>
              <w:right w:val="single" w:color="C4B5FD" w:sz="1"/>
            </w:tcBorders>
            <w:shd w:fill="0A0E1A" w:val="clear"/>
            <w:tcMar>
              <w:top w:type="dxa" w:w="100"/>
              <w:left w:type="dxa" w:w="140"/>
              <w:bottom w:type="dxa" w:w="100"/>
              <w:right w:type="dxa" w:w="140"/>
            </w:tcMar>
          </w:tcPr>
          <w:p>
            <w:r>
              <w:rPr>
                <w:rFonts w:ascii="Arial" w:cs="Arial" w:eastAsia="Arial" w:hAnsi="Arial"/>
                <w:b/>
                <w:bCs/>
                <w:color w:val="FFFFFF"/>
                <w:sz w:val="20"/>
                <w:szCs w:val="20"/>
              </w:rPr>
              <w:t xml:space="preserve">Mecanismo de Transferencia</w:t>
            </w:r>
          </w:p>
        </w:tc>
        <w:tc>
          <w:tcPr>
            <w:tcW w:type="dxa" w:w="2160"/>
            <w:tcBorders>
              <w:top w:val="single" w:color="C4B5FD" w:sz="1"/>
              <w:left w:val="single" w:color="C4B5FD" w:sz="1"/>
              <w:bottom w:val="single" w:color="C4B5FD" w:sz="1"/>
              <w:right w:val="single" w:color="C4B5FD" w:sz="1"/>
            </w:tcBorders>
            <w:shd w:fill="0A0E1A"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Peso XAI</w:t>
            </w:r>
          </w:p>
        </w:tc>
      </w:tr>
      <w:tr>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b/>
                <w:bCs/>
                <w:color w:val="1E1B4B"/>
                <w:sz w:val="20"/>
                <w:szCs w:val="20"/>
              </w:rPr>
              <w:t xml:space="preserve">Jubilaciones / Pensiones</w:t>
            </w:r>
          </w:p>
        </w:tc>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color w:val="4B5563"/>
                <w:sz w:val="20"/>
                <w:szCs w:val="20"/>
              </w:rPr>
              <w:t xml:space="preserve">Jubilados al Estado</w:t>
            </w:r>
          </w:p>
        </w:tc>
        <w:tc>
          <w:tcPr>
            <w:tcW w:type="dxa" w:w="216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pPr>
              <w:jc w:val="center"/>
            </w:pPr>
            <w:r>
              <w:rPr>
                <w:rFonts w:ascii="Arial" w:cs="Arial" w:eastAsia="Arial" w:hAnsi="Arial"/>
                <w:b/>
                <w:bCs/>
                <w:color w:val="EF4444"/>
                <w:sz w:val="26"/>
                <w:szCs w:val="26"/>
              </w:rPr>
              <w:t xml:space="preserve">10.0</w:t>
            </w:r>
          </w:p>
        </w:tc>
      </w:tr>
      <w:tr>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b/>
                <w:bCs/>
                <w:color w:val="1E1B4B"/>
                <w:sz w:val="20"/>
                <w:szCs w:val="20"/>
              </w:rPr>
              <w:t xml:space="preserve">Traslado de Impuestos</w:t>
            </w:r>
          </w:p>
        </w:tc>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color w:val="4B5563"/>
                <w:sz w:val="20"/>
                <w:szCs w:val="20"/>
              </w:rPr>
              <w:t xml:space="preserve">Contribuyentes al Estado</w:t>
            </w:r>
          </w:p>
        </w:tc>
        <w:tc>
          <w:tcPr>
            <w:tcW w:type="dxa" w:w="216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pPr>
              <w:jc w:val="center"/>
            </w:pPr>
            <w:r>
              <w:rPr>
                <w:rFonts w:ascii="Arial" w:cs="Arial" w:eastAsia="Arial" w:hAnsi="Arial"/>
                <w:b/>
                <w:bCs/>
                <w:color w:val="EF4444"/>
                <w:sz w:val="26"/>
                <w:szCs w:val="26"/>
              </w:rPr>
              <w:t xml:space="preserve">9.5</w:t>
            </w:r>
          </w:p>
        </w:tc>
      </w:tr>
      <w:tr>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b/>
                <w:bCs/>
                <w:color w:val="1E1B4B"/>
                <w:sz w:val="20"/>
                <w:szCs w:val="20"/>
              </w:rPr>
              <w:t xml:space="preserve">Privatización / Concesión</w:t>
            </w:r>
          </w:p>
        </w:tc>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color w:val="4B5563"/>
                <w:sz w:val="20"/>
                <w:szCs w:val="20"/>
              </w:rPr>
              <w:t xml:space="preserve">Estado a Privados</w:t>
            </w:r>
          </w:p>
        </w:tc>
        <w:tc>
          <w:tcPr>
            <w:tcW w:type="dxa" w:w="216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pPr>
              <w:jc w:val="center"/>
            </w:pPr>
            <w:r>
              <w:rPr>
                <w:rFonts w:ascii="Arial" w:cs="Arial" w:eastAsia="Arial" w:hAnsi="Arial"/>
                <w:b/>
                <w:bCs/>
                <w:color w:val="F97316"/>
                <w:sz w:val="26"/>
                <w:szCs w:val="26"/>
              </w:rPr>
              <w:t xml:space="preserve">9.0</w:t>
            </w:r>
          </w:p>
        </w:tc>
      </w:tr>
      <w:tr>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b/>
                <w:bCs/>
                <w:color w:val="1E1B4B"/>
                <w:sz w:val="20"/>
                <w:szCs w:val="20"/>
              </w:rPr>
              <w:t xml:space="preserve">Obra Pública / Contratos</w:t>
            </w:r>
          </w:p>
        </w:tc>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color w:val="4B5563"/>
                <w:sz w:val="20"/>
                <w:szCs w:val="20"/>
              </w:rPr>
              <w:t xml:space="preserve">Estado a Empresas</w:t>
            </w:r>
          </w:p>
        </w:tc>
        <w:tc>
          <w:tcPr>
            <w:tcW w:type="dxa" w:w="216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pPr>
              <w:jc w:val="center"/>
            </w:pPr>
            <w:r>
              <w:rPr>
                <w:rFonts w:ascii="Arial" w:cs="Arial" w:eastAsia="Arial" w:hAnsi="Arial"/>
                <w:b/>
                <w:bCs/>
                <w:color w:val="F97316"/>
                <w:sz w:val="26"/>
                <w:szCs w:val="26"/>
              </w:rPr>
              <w:t xml:space="preserve">8.5</w:t>
            </w:r>
          </w:p>
        </w:tc>
      </w:tr>
      <w:tr>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b/>
                <w:bCs/>
                <w:color w:val="1E1B4B"/>
                <w:sz w:val="20"/>
                <w:szCs w:val="20"/>
              </w:rPr>
              <w:t xml:space="preserve">Tarifas Servicios Públicos</w:t>
            </w:r>
          </w:p>
        </w:tc>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color w:val="4B5563"/>
                <w:sz w:val="20"/>
                <w:szCs w:val="20"/>
              </w:rPr>
              <w:t xml:space="preserve">Usuarios a Concesionarias</w:t>
            </w:r>
          </w:p>
        </w:tc>
        <w:tc>
          <w:tcPr>
            <w:tcW w:type="dxa" w:w="216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pPr>
              <w:jc w:val="center"/>
            </w:pPr>
            <w:r>
              <w:rPr>
                <w:rFonts w:ascii="Arial" w:cs="Arial" w:eastAsia="Arial" w:hAnsi="Arial"/>
                <w:b/>
                <w:bCs/>
                <w:color w:val="F59E0B"/>
                <w:sz w:val="26"/>
                <w:szCs w:val="26"/>
              </w:rPr>
              <w:t xml:space="preserve">7.5</w:t>
            </w:r>
          </w:p>
        </w:tc>
      </w:tr>
      <w:tr>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b/>
                <w:bCs/>
                <w:color w:val="1E1B4B"/>
                <w:sz w:val="20"/>
                <w:szCs w:val="20"/>
              </w:rPr>
              <w:t xml:space="preserve">Precios de Consumo Regulados</w:t>
            </w:r>
          </w:p>
        </w:tc>
        <w:tc>
          <w:tcPr>
            <w:tcW w:type="dxa" w:w="360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r>
              <w:rPr>
                <w:rFonts w:ascii="Arial" w:cs="Arial" w:eastAsia="Arial" w:hAnsi="Arial"/>
                <w:color w:val="4B5563"/>
                <w:sz w:val="20"/>
                <w:szCs w:val="20"/>
              </w:rPr>
              <w:t xml:space="preserve">Consumidores a Productores</w:t>
            </w:r>
          </w:p>
        </w:tc>
        <w:tc>
          <w:tcPr>
            <w:tcW w:type="dxa" w:w="2160"/>
            <w:tcBorders>
              <w:top w:val="single" w:color="C4B5FD" w:sz="1"/>
              <w:left w:val="single" w:color="C4B5FD" w:sz="1"/>
              <w:bottom w:val="single" w:color="C4B5FD" w:sz="1"/>
              <w:right w:val="single" w:color="C4B5FD" w:sz="1"/>
            </w:tcBorders>
            <w:shd w:fill="F8FAFC" w:val="clear"/>
            <w:tcMar>
              <w:top w:type="dxa" w:w="80"/>
              <w:left w:type="dxa" w:w="140"/>
              <w:bottom w:type="dxa" w:w="80"/>
              <w:right w:type="dxa" w:w="140"/>
            </w:tcMar>
          </w:tcPr>
          <w:p>
            <w:pPr>
              <w:jc w:val="center"/>
            </w:pPr>
            <w:r>
              <w:rPr>
                <w:rFonts w:ascii="Arial" w:cs="Arial" w:eastAsia="Arial" w:hAnsi="Arial"/>
                <w:b/>
                <w:bCs/>
                <w:color w:val="F59E0B"/>
                <w:sz w:val="26"/>
                <w:szCs w:val="26"/>
              </w:rPr>
              <w:t xml:space="preserve">6.5</w:t>
            </w:r>
          </w:p>
        </w:tc>
      </w:tr>
      <w:tr>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b/>
                <w:bCs/>
                <w:color w:val="1E1B4B"/>
                <w:sz w:val="20"/>
                <w:szCs w:val="20"/>
              </w:rPr>
              <w:t xml:space="preserve">Salarios y Paritarias</w:t>
            </w:r>
          </w:p>
        </w:tc>
        <w:tc>
          <w:tcPr>
            <w:tcW w:type="dxa" w:w="360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r>
              <w:rPr>
                <w:rFonts w:ascii="Arial" w:cs="Arial" w:eastAsia="Arial" w:hAnsi="Arial"/>
                <w:color w:val="4B5563"/>
                <w:sz w:val="20"/>
                <w:szCs w:val="20"/>
              </w:rPr>
              <w:t xml:space="preserve">Asalariados a Empleadores</w:t>
            </w:r>
          </w:p>
        </w:tc>
        <w:tc>
          <w:tcPr>
            <w:tcW w:type="dxa" w:w="2160"/>
            <w:tcBorders>
              <w:top w:val="single" w:color="C4B5FD" w:sz="1"/>
              <w:left w:val="single" w:color="C4B5FD" w:sz="1"/>
              <w:bottom w:val="single" w:color="C4B5FD" w:sz="1"/>
              <w:right w:val="single" w:color="C4B5FD" w:sz="1"/>
            </w:tcBorders>
            <w:shd w:fill="FFFFFF" w:val="clear"/>
            <w:tcMar>
              <w:top w:type="dxa" w:w="80"/>
              <w:left w:type="dxa" w:w="140"/>
              <w:bottom w:type="dxa" w:w="80"/>
              <w:right w:type="dxa" w:w="140"/>
            </w:tcMar>
          </w:tcPr>
          <w:p>
            <w:pPr>
              <w:jc w:val="center"/>
            </w:pPr>
            <w:r>
              <w:rPr>
                <w:rFonts w:ascii="Arial" w:cs="Arial" w:eastAsia="Arial" w:hAnsi="Arial"/>
                <w:b/>
                <w:bCs/>
                <w:color w:val="10B981"/>
                <w:sz w:val="26"/>
                <w:szCs w:val="26"/>
              </w:rPr>
              <w:t xml:space="preserve">5.5</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FFFBEB" w:val="clear"/>
            <w:tcMar>
              <w:top w:type="dxa" w:w="120"/>
              <w:left w:type="dxa" w:w="180"/>
              <w:bottom w:type="dxa" w:w="120"/>
              <w:right w:type="dxa" w:w="180"/>
            </w:tcMar>
          </w:tcPr>
          <w:p>
            <w:pPr>
              <w:spacing w:after="60" w:before="0"/>
            </w:pPr>
            <w:r>
              <w:rPr>
                <w:rFonts w:ascii="Arial" w:cs="Arial" w:eastAsia="Arial" w:hAnsi="Arial"/>
                <w:b/>
                <w:bCs/>
                <w:color w:val="92400E"/>
                <w:sz w:val="22"/>
                <w:szCs w:val="22"/>
              </w:rPr>
              <w:t xml:space="preserve">📌 Interpretación del peso</w:t>
            </w:r>
          </w:p>
          <w:p>
            <w:pPr>
              <w:spacing w:after="0" w:before="0"/>
            </w:pPr>
            <w:r>
              <w:rPr>
                <w:rFonts w:ascii="Arial" w:cs="Arial" w:eastAsia="Arial" w:hAnsi="Arial"/>
                <w:color w:val="1F1F1F"/>
                <w:sz w:val="20"/>
                <w:szCs w:val="20"/>
              </w:rPr>
              <w:t xml:space="preserve">Los escenarios con peso más alto (Jubilaciones 10.0, Impuestos 9.5) representan los mecanismos de mayor impacto regresivo según la investigación del Ph.D. Monteverde. Un contrato clasificado en estos escenarios tiene mayor probabilidad de generar un índice XAI elevado.</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6.4 Fundamentación académica</w:t>
      </w:r>
    </w:p>
    <w:p>
      <w:pPr>
        <w:spacing w:after="80" w:before="60"/>
      </w:pPr>
      <w:r>
        <w:rPr>
          <w:rFonts w:ascii="Arial" w:cs="Arial" w:eastAsia="Arial" w:hAnsi="Arial"/>
          <w:color w:val="1F1F1F"/>
          <w:sz w:val="22"/>
          <w:szCs w:val="22"/>
        </w:rPr>
        <w:t xml:space="preserve">El Monitor XAI implementa la investigación del Ph.D. Vicente Humberto Monteverde sobre la Transferencia Regresiva de Ingresos: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131D35" w:val="clear"/>
            <w:tcMar>
              <w:top w:type="dxa" w:w="220"/>
              <w:left w:type="dxa" w:w="280"/>
              <w:bottom w:type="dxa" w:w="220"/>
              <w:right w:type="dxa" w:w="280"/>
            </w:tcMar>
          </w:tcPr>
          <w:p>
            <w:pPr>
              <w:spacing w:after="80" w:before="0"/>
            </w:pPr>
            <w:r>
              <w:rPr>
                <w:rFonts w:ascii="Arial" w:cs="Arial" w:eastAsia="Arial" w:hAnsi="Arial"/>
                <w:b/>
                <w:bCs/>
                <w:color w:val="06B6D4"/>
                <w:sz w:val="22"/>
                <w:szCs w:val="22"/>
              </w:rPr>
              <w:t xml:space="preserve">Monteverde, V.H. (2021).</w:t>
            </w:r>
          </w:p>
          <w:p>
            <w:pPr>
              <w:spacing w:after="80" w:before="0"/>
            </w:pPr>
            <w:r>
              <w:rPr>
                <w:rFonts w:ascii="Arial" w:cs="Arial" w:eastAsia="Arial" w:hAnsi="Arial"/>
                <w:i/>
                <w:iCs/>
                <w:color w:val="E2E8F0"/>
                <w:sz w:val="22"/>
                <w:szCs w:val="22"/>
              </w:rPr>
              <w:t xml:space="preserve">"Great corruption – theory of corrupt phenomena"</w:t>
            </w:r>
          </w:p>
          <w:p>
            <w:pPr>
              <w:spacing w:after="60" w:before="0"/>
            </w:pPr>
            <w:r>
              <w:rPr>
                <w:rFonts w:ascii="Arial" w:cs="Arial" w:eastAsia="Arial" w:hAnsi="Arial"/>
                <w:color w:val="94A3B8"/>
                <w:sz w:val="22"/>
                <w:szCs w:val="22"/>
              </w:rPr>
              <w:t xml:space="preserve">Journal of Financial Crime, Vol. 28 No. 2, pp. 580-592.</w:t>
            </w:r>
          </w:p>
          <w:p>
            <w:pPr>
              <w:spacing w:after="0" w:before="0"/>
            </w:pPr>
            <w:r>
              <w:rPr>
                <w:rFonts w:ascii="Arial" w:cs="Arial" w:eastAsia="Arial" w:hAnsi="Arial"/>
                <w:color w:val="3B82F6"/>
                <w:sz w:val="22"/>
                <w:szCs w:val="22"/>
                <w:u w:val="single"/>
              </w:rPr>
              <w:t xml:space="preserve">DOI: 10.1108/JFC-03-2020-0054</w:t>
            </w:r>
          </w:p>
        </w:tc>
      </w:tr>
    </w:tbl>
    <w:p>
      <w:pPr>
        <w:spacing w:after="80" w:before="80"/>
      </w:pPr>
      <w:r>
        <w:t xml:space="preserve"/>
      </w:r>
    </w:p>
    <w:p>
      <w:pPr>
        <w:spacing w:after="80" w:before="60"/>
      </w:pPr>
      <w:r>
        <w:rPr>
          <w:rFonts w:ascii="Arial" w:cs="Arial" w:eastAsia="Arial" w:hAnsi="Arial"/>
          <w:color w:val="1F1F1F"/>
          <w:sz w:val="22"/>
          <w:szCs w:val="22"/>
        </w:rPr>
        <w:t xml:space="preserve">Desde la sección Documentación hay un botón azul '📥 Descargar Artículo Original (Ph.D. Monteverde)' que permite descargar el PDF del artículo académico directamente.</w:t>
      </w:r>
    </w:p>
    <w:p>
      <w:pPr>
        <w:spacing w:after="80" w:before="80"/>
      </w:pPr>
      <w:r>
        <w:t xml:space="preserve"/>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220"/>
              <w:left w:type="dxa" w:w="280"/>
              <w:bottom w:type="dxa" w:w="220"/>
              <w:right w:type="dxa" w:w="280"/>
            </w:tcMar>
          </w:tcPr>
          <w:p>
            <w:pPr>
              <w:spacing w:after="60" w:before="0"/>
            </w:pPr>
            <w:r>
              <w:rPr>
                <w:rFonts w:ascii="Arial" w:cs="Arial" w:eastAsia="Arial" w:hAnsi="Arial"/>
                <w:b/>
                <w:bCs/>
                <w:color w:val="FFFFFF"/>
                <w:sz w:val="34"/>
                <w:szCs w:val="34"/>
              </w:rPr>
              <w:t xml:space="preserve">🔧  7. API — Documentación técnica</w:t>
            </w:r>
          </w:p>
          <w:p>
            <w:pPr>
              <w:spacing w:after="0" w:before="0"/>
            </w:pPr>
            <w:r>
              <w:rPr>
                <w:rFonts w:ascii="Arial" w:cs="Arial" w:eastAsia="Arial" w:hAnsi="Arial"/>
                <w:color w:val="94A3B8"/>
                <w:sz w:val="20"/>
                <w:szCs w:val="20"/>
              </w:rPr>
              <w:t xml:space="preserve">gobbocomprartgn-production.up.railway.app/docs</w:t>
            </w:r>
          </w:p>
        </w:tc>
      </w:tr>
    </w:tbl>
    <w:p>
      <w:pPr>
        <w:spacing w:after="80" w:before="80"/>
      </w:pPr>
      <w:r>
        <w:t xml:space="preserve"/>
      </w:r>
    </w:p>
    <w:p>
      <w:pPr>
        <w:spacing w:after="80" w:before="60"/>
      </w:pPr>
      <w:r>
        <w:rPr>
          <w:rFonts w:ascii="Arial" w:cs="Arial" w:eastAsia="Arial" w:hAnsi="Arial"/>
          <w:color w:val="1F1F1F"/>
          <w:sz w:val="22"/>
          <w:szCs w:val="22"/>
        </w:rPr>
        <w:t xml:space="preserve">El Monitor XAI expone una API REST construida con FastAPI (Python). La documentación interactiva está disponible en /docs (Swagger UI). Permite integrar el sistema con otras herramientas o automatizar consultas programáticamente.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600"/>
        <w:gridCol w:w="4560"/>
      </w:tblGrid>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Método</w:t>
            </w:r>
          </w:p>
        </w:tc>
        <w:tc>
          <w:tcPr>
            <w:tcW w:type="dxa" w:w="360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Endpoint</w:t>
            </w:r>
          </w:p>
        </w:tc>
        <w:tc>
          <w:tcPr>
            <w:tcW w:type="dxa" w:w="4560"/>
            <w:tcBorders>
              <w:top w:val="single" w:color="C4B5FD" w:sz="1"/>
              <w:left w:val="single" w:color="C4B5FD" w:sz="1"/>
              <w:bottom w:val="single" w:color="C4B5FD" w:sz="1"/>
              <w:right w:val="single" w:color="C4B5FD" w:sz="1"/>
            </w:tcBorders>
            <w:shd w:fill="1E1B4B" w:val="clear"/>
            <w:tcMar>
              <w:top w:type="dxa" w:w="80"/>
              <w:left w:type="dxa" w:w="120"/>
              <w:bottom w:type="dxa" w:w="80"/>
              <w:right w:type="dxa" w:w="120"/>
            </w:tcMar>
          </w:tcPr>
          <w:p>
            <w:r>
              <w:rPr>
                <w:rFonts w:ascii="Arial" w:cs="Arial" w:eastAsia="Arial" w:hAnsi="Arial"/>
                <w:b/>
                <w:bCs/>
                <w:color w:val="FFFFFF"/>
                <w:sz w:val="20"/>
                <w:szCs w:val="20"/>
              </w:rPr>
              <w:t xml:space="preserve">Descripción</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Renderiza el Dashboard principal</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/analisis-vivo</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Renderiza la página de Análisis en Vivo</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/licitaciones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Renderiza la página de Licitaciones con flujo cruzado</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/documentacion</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Renderiza la página de Documentación</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/api/status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Estado del sistema — confirma que la API está activa</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/api/reportes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Lista todos los reportes generados y almacenados</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/api/dias-disponibles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Lista los días con datos disponibles para análisis</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/api/licitaciones/datos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Devuelve los datos de licitaciones del último reporte en JSON</w:t>
            </w:r>
          </w:p>
        </w:tc>
      </w:tr>
      <w:tr>
        <w:tc>
          <w:tcPr>
            <w:tcW w:type="dxa" w:w="1200"/>
            <w:tcBorders>
              <w:top w:val="single" w:color="C4B5FD" w:sz="1"/>
              <w:left w:val="single" w:color="C4B5FD" w:sz="1"/>
              <w:bottom w:val="single" w:color="C4B5FD" w:sz="1"/>
              <w:right w:val="single" w:color="C4B5FD" w:sz="1"/>
            </w:tcBorders>
            <w:shd w:fill="D1FAE5" w:val="clear"/>
            <w:tcMar>
              <w:top w:type="dxa" w:w="60"/>
              <w:left w:type="dxa" w:w="100"/>
              <w:bottom w:type="dxa" w:w="60"/>
              <w:right w:type="dxa" w:w="100"/>
            </w:tcMar>
          </w:tcPr>
          <w:p>
            <w:pPr>
              <w:jc w:val="center"/>
            </w:pPr>
            <w:r>
              <w:rPr>
                <w:rFonts w:ascii="Courier New" w:cs="Courier New" w:eastAsia="Courier New" w:hAnsi="Courier New"/>
                <w:b/>
                <w:bCs/>
                <w:color w:val="065F46"/>
                <w:sz w:val="20"/>
                <w:szCs w:val="20"/>
              </w:rPr>
              <w:t xml:space="preserve">POST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/api/analisis</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Ejecuta el ciclo completo de análisis para una fecha dada</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/api/marco-teorico</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Devuelve los 7 escenarios de la Matriz XAI con sus pesos</w:t>
            </w:r>
          </w:p>
        </w:tc>
      </w:tr>
      <w:tr>
        <w:tc>
          <w:tcPr>
            <w:tcW w:type="dxa" w:w="1200"/>
            <w:tcBorders>
              <w:top w:val="single" w:color="C4B5FD" w:sz="1"/>
              <w:left w:val="single" w:color="C4B5FD" w:sz="1"/>
              <w:bottom w:val="single" w:color="C4B5FD" w:sz="1"/>
              <w:right w:val="single" w:color="C4B5FD" w:sz="1"/>
            </w:tcBorders>
            <w:shd w:fill="DBEAFE" w:val="clear"/>
            <w:tcMar>
              <w:top w:type="dxa" w:w="60"/>
              <w:left w:type="dxa" w:w="100"/>
              <w:bottom w:type="dxa" w:w="60"/>
              <w:right w:type="dxa" w:w="100"/>
            </w:tcMar>
          </w:tcPr>
          <w:p>
            <w:pPr>
              <w:jc w:val="center"/>
            </w:pPr>
            <w:r>
              <w:rPr>
                <w:rFonts w:ascii="Courier New" w:cs="Courier New" w:eastAsia="Courier New" w:hAnsi="Courier New"/>
                <w:b/>
                <w:bCs/>
                <w:color w:val="1E40AF"/>
                <w:sz w:val="20"/>
                <w:szCs w:val="20"/>
              </w:rPr>
              <w:t xml:space="preserve">GET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/api/descargar-articulo</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Descarga el PDF del artículo académico original</w:t>
            </w:r>
          </w:p>
        </w:tc>
      </w:tr>
      <w:tr>
        <w:tc>
          <w:tcPr>
            <w:tcW w:type="dxa" w:w="1200"/>
            <w:tcBorders>
              <w:top w:val="single" w:color="C4B5FD" w:sz="1"/>
              <w:left w:val="single" w:color="C4B5FD" w:sz="1"/>
              <w:bottom w:val="single" w:color="C4B5FD" w:sz="1"/>
              <w:right w:val="single" w:color="C4B5FD" w:sz="1"/>
            </w:tcBorders>
            <w:shd w:fill="D1FAE5" w:val="clear"/>
            <w:tcMar>
              <w:top w:type="dxa" w:w="60"/>
              <w:left w:type="dxa" w:w="100"/>
              <w:bottom w:type="dxa" w:w="60"/>
              <w:right w:type="dxa" w:w="100"/>
            </w:tcMar>
          </w:tcPr>
          <w:p>
            <w:pPr>
              <w:jc w:val="center"/>
            </w:pPr>
            <w:r>
              <w:rPr>
                <w:rFonts w:ascii="Courier New" w:cs="Courier New" w:eastAsia="Courier New" w:hAnsi="Courier New"/>
                <w:b/>
                <w:bCs/>
                <w:color w:val="065F46"/>
                <w:sz w:val="20"/>
                <w:szCs w:val="20"/>
              </w:rPr>
              <w:t xml:space="preserve">POST</w:t>
            </w:r>
          </w:p>
        </w:tc>
        <w:tc>
          <w:tcPr>
            <w:tcW w:type="dxa" w:w="3600"/>
            <w:tcBorders>
              <w:top w:val="single" w:color="C4B5FD" w:sz="1"/>
              <w:left w:val="single" w:color="C4B5FD" w:sz="1"/>
              <w:bottom w:val="single" w:color="C4B5FD" w:sz="1"/>
              <w:right w:val="single" w:color="C4B5FD" w:sz="1"/>
            </w:tcBorders>
            <w:shd w:fill="F8FAFC" w:val="clear"/>
            <w:tcMar>
              <w:top w:type="dxa" w:w="60"/>
              <w:left w:type="dxa" w:w="120"/>
              <w:bottom w:type="dxa" w:w="60"/>
              <w:right w:type="dxa" w:w="120"/>
            </w:tcMar>
          </w:tcPr>
          <w:p>
            <w:r>
              <w:rPr>
                <w:rFonts w:ascii="Courier New" w:cs="Courier New" w:eastAsia="Courier New" w:hAnsi="Courier New"/>
                <w:color w:val="1E40AF"/>
                <w:sz w:val="20"/>
                <w:szCs w:val="20"/>
              </w:rPr>
              <w:t xml:space="preserve">/api/licitaciones/ejecutar</w:t>
            </w:r>
          </w:p>
        </w:tc>
        <w:tc>
          <w:tcPr>
            <w:tcW w:type="dxa" w:w="4560"/>
            <w:tcBorders>
              <w:top w:val="single" w:color="C4B5FD" w:sz="1"/>
              <w:left w:val="single" w:color="C4B5FD" w:sz="1"/>
              <w:bottom w:val="single" w:color="C4B5FD" w:sz="1"/>
              <w:right w:val="single" w:color="C4B5FD" w:sz="1"/>
            </w:tcBorders>
            <w:shd w:fill="FFFFFF" w:val="clear"/>
            <w:tcMar>
              <w:top w:type="dxa" w:w="60"/>
              <w:left w:type="dxa" w:w="120"/>
              <w:bottom w:type="dxa" w:w="60"/>
              <w:right w:type="dxa" w:w="120"/>
            </w:tcMar>
          </w:tcPr>
          <w:p>
            <w:r>
              <w:rPr>
                <w:rFonts w:ascii="Arial" w:cs="Arial" w:eastAsia="Arial" w:hAnsi="Arial"/>
                <w:color w:val="1F1F1F"/>
                <w:sz w:val="20"/>
                <w:szCs w:val="20"/>
              </w:rPr>
              <w:t xml:space="preserve">Ejecuta el scraping de licitaciones para una fecha específica</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B5FD" w:sz="1"/>
              <w:left w:val="single" w:color="C4B5FD" w:sz="1"/>
              <w:bottom w:val="single" w:color="C4B5FD" w:sz="1"/>
              <w:right w:val="single" w:color="C4B5FD" w:sz="1"/>
            </w:tcBorders>
            <w:shd w:fill="EFF6FF" w:val="clear"/>
            <w:tcMar>
              <w:top w:type="dxa" w:w="120"/>
              <w:left w:type="dxa" w:w="180"/>
              <w:bottom w:type="dxa" w:w="120"/>
              <w:right w:type="dxa" w:w="180"/>
            </w:tcMar>
          </w:tcPr>
          <w:p>
            <w:pPr>
              <w:spacing w:after="60" w:before="0"/>
            </w:pPr>
            <w:r>
              <w:rPr>
                <w:rFonts w:ascii="Arial" w:cs="Arial" w:eastAsia="Arial" w:hAnsi="Arial"/>
                <w:b/>
                <w:bCs/>
                <w:color w:val="1E40AF"/>
                <w:sz w:val="22"/>
                <w:szCs w:val="22"/>
              </w:rPr>
              <w:t xml:space="preserve">🔧 Cómo usar la API interactiva</w:t>
            </w:r>
          </w:p>
          <w:p>
            <w:pPr>
              <w:spacing w:after="0" w:before="0"/>
            </w:pPr>
            <w:r>
              <w:rPr>
                <w:rFonts w:ascii="Arial" w:cs="Arial" w:eastAsia="Arial" w:hAnsi="Arial"/>
                <w:color w:val="1F1F1F"/>
                <w:sz w:val="20"/>
                <w:szCs w:val="20"/>
              </w:rPr>
              <w:t xml:space="preserve">En /docs (Swagger UI) podés probar cada endpoint directamente desde el navegador sin necesidad de código. Hacé clic en el endpoint, luego en 'Try it out', completá los parámetros si los requiere y ejecutá con 'Execute'. La respuesta aparece debajo en formato JSON.</w:t>
            </w:r>
          </w:p>
        </w:tc>
      </w:tr>
    </w:tbl>
    <w:p>
      <w:pPr>
        <w:spacing w:after="80" w:before="80"/>
      </w:pPr>
      <w:r>
        <w:t xml:space="preserve"/>
      </w:r>
    </w:p>
    <w:p>
      <w:pPr>
        <w:pStyle w:val="Heading2"/>
        <w:spacing w:after="100" w:before="280"/>
      </w:pPr>
      <w:r>
        <w:rPr>
          <w:rFonts w:ascii="Arial" w:cs="Arial" w:eastAsia="Arial" w:hAnsi="Arial"/>
          <w:b/>
          <w:bCs/>
          <w:color w:val="1E40AF"/>
          <w:sz w:val="28"/>
          <w:szCs w:val="28"/>
        </w:rPr>
        <w:t xml:space="preserve">7.1 Ejemplo de uso — POST /api/analisis</w:t>
      </w:r>
    </w:p>
    <w:p>
      <w:pPr>
        <w:spacing w:after="80" w:before="60"/>
      </w:pPr>
      <w:r>
        <w:rPr>
          <w:rFonts w:ascii="Arial" w:cs="Arial" w:eastAsia="Arial" w:hAnsi="Arial"/>
          <w:color w:val="1F1F1F"/>
          <w:sz w:val="22"/>
          <w:szCs w:val="22"/>
        </w:rPr>
        <w:t xml:space="preserve">Para ejecutar un análisis programáticamente enviar un POST con el cuerpo:</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0A0E1A" w:val="clear"/>
            <w:tcMar>
              <w:top w:type="dxa" w:w="160"/>
              <w:left w:type="dxa" w:w="240"/>
              <w:bottom w:type="dxa" w:w="160"/>
              <w:right w:type="dxa" w:w="240"/>
            </w:tcMar>
          </w:tcPr>
          <w:p>
            <w:pPr>
              <w:spacing w:after="40" w:before="0"/>
            </w:pPr>
            <w:r>
              <w:rPr>
                <w:rFonts w:ascii="Courier New" w:cs="Courier New" w:eastAsia="Courier New" w:hAnsi="Courier New"/>
                <w:color w:val="10B981"/>
                <w:sz w:val="20"/>
                <w:szCs w:val="20"/>
              </w:rPr>
              <w:t xml:space="preserve">POST /api/analisis</w:t>
            </w:r>
          </w:p>
          <w:p>
            <w:pPr>
              <w:spacing w:after="40" w:before="0"/>
            </w:pPr>
            <w:r>
              <w:rPr>
                <w:rFonts w:ascii="Courier New" w:cs="Courier New" w:eastAsia="Courier New" w:hAnsi="Courier New"/>
                <w:color w:val="94A3B8"/>
                <w:sz w:val="20"/>
                <w:szCs w:val="20"/>
              </w:rPr>
              <w:t xml:space="preserve">Content-Type: application/json</w:t>
            </w:r>
          </w:p>
          <w:p>
            <w:pPr>
              <w:spacing w:after="40" w:before="0"/>
            </w:pPr>
            <w:r>
              <w:rPr>
                <w:rFonts w:ascii="Courier New" w:cs="Courier New" w:eastAsia="Courier New" w:hAnsi="Courier New"/>
                <w:color w:val="E2E8F0"/>
                <w:sz w:val="20"/>
                <w:szCs w:val="20"/>
              </w:rPr>
              <w:t xml:space="preserve"/>
            </w:r>
          </w:p>
          <w:p>
            <w:pPr>
              <w:spacing w:after="40" w:before="0"/>
            </w:pPr>
            <w:r>
              <w:rPr>
                <w:rFonts w:ascii="Courier New" w:cs="Courier New" w:eastAsia="Courier New" w:hAnsi="Courier New"/>
                <w:color w:val="E2E8F0"/>
                <w:sz w:val="20"/>
                <w:szCs w:val="20"/>
              </w:rPr>
              <w:t xml:space="preserve">{</w:t>
            </w:r>
          </w:p>
          <w:p>
            <w:pPr>
              <w:spacing w:after="40" w:before="0"/>
            </w:pPr>
            <w:r>
              <w:rPr>
                <w:rFonts w:ascii="Courier New" w:cs="Courier New" w:eastAsia="Courier New" w:hAnsi="Courier New"/>
                <w:color w:val="06B6D4"/>
                <w:sz w:val="20"/>
                <w:szCs w:val="20"/>
              </w:rPr>
              <w:t xml:space="preserve">  "fecha": "2026-03-15"</w:t>
            </w:r>
          </w:p>
          <w:p>
            <w:pPr>
              <w:spacing w:after="0" w:before="0"/>
            </w:pPr>
            <w:r>
              <w:rPr>
                <w:rFonts w:ascii="Courier New" w:cs="Courier New" w:eastAsia="Courier New" w:hAnsi="Courier New"/>
                <w:color w:val="E2E8F0"/>
                <w:sz w:val="20"/>
                <w:szCs w:val="20"/>
              </w:rPr>
              <w:t xml:space="preserve">}</w:t>
            </w:r>
          </w:p>
        </w:tc>
      </w:tr>
    </w:tbl>
    <w:p>
      <w:pPr>
        <w:spacing w:after="80" w:before="80"/>
      </w:pPr>
      <w:r>
        <w:t xml:space="preserve"/>
      </w:r>
    </w:p>
    <w:p>
      <w:pPr>
        <w:pageBreakBefore/>
      </w:pPr>
      <w:r>
        <w:t xml:space="preserve"/>
      </w:r>
    </w:p>
    <w:p>
      <w:pPr>
        <w:pStyle w:val="Heading1"/>
        <w:spacing w:after="120" w:before="360"/>
      </w:pPr>
      <w:r>
        <w:rPr>
          <w:rFonts w:ascii="Arial" w:cs="Arial" w:eastAsia="Arial" w:hAnsi="Arial"/>
          <w:b/>
          <w:bCs/>
          <w:color w:val="1E1B4B"/>
          <w:sz w:val="36"/>
          <w:szCs w:val="36"/>
        </w:rPr>
        <w:t xml:space="preserve">8. Flujo de trabajo recomendado</w:t>
      </w:r>
    </w:p>
    <w:p>
      <w:pPr>
        <w:spacing w:after="80" w:before="60"/>
      </w:pPr>
      <w:r>
        <w:rPr>
          <w:rFonts w:ascii="Arial" w:cs="Arial" w:eastAsia="Arial" w:hAnsi="Arial"/>
          <w:color w:val="1F1F1F"/>
          <w:sz w:val="22"/>
          <w:szCs w:val="22"/>
        </w:rPr>
        <w:t xml:space="preserve">Para sacar el máximo provecho del Monitor XAI, el flujo de trabajo diario recomendado 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1</w:t>
            </w:r>
          </w:p>
        </w:tc>
        <w:tc>
          <w:tcPr>
            <w:tcW w:type="dxa" w:w="8160"/>
            <w:tcBorders>
              <w:top w:val="single" w:color="C4B5FD" w:sz="1"/>
              <w:left w:val="single" w:color="C4B5FD" w:sz="1"/>
              <w:bottom w:val="single" w:color="C4B5FD" w:sz="1"/>
              <w:right w:val="single" w:color="C4B5FD" w:sz="1"/>
            </w:tcBorders>
            <w:shd w:fill="FFFFFF" w:val="clear"/>
            <w:tcMar>
              <w:top w:type="dxa" w:w="80"/>
              <w:left w:type="dxa" w:w="160"/>
              <w:bottom w:type="dxa" w:w="80"/>
              <w:right w:type="dxa" w:w="160"/>
            </w:tcMar>
          </w:tcPr>
          <w:p>
            <w:r>
              <w:rPr>
                <w:rFonts w:ascii="Arial" w:cs="Arial" w:eastAsia="Arial" w:hAnsi="Arial"/>
                <w:color w:val="1F1F1F"/>
                <w:sz w:val="22"/>
                <w:szCs w:val="22"/>
              </w:rPr>
              <w:t xml:space="preserve">Ir a Análisis en Vivo (/analisis-vivo)</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2</w:t>
            </w:r>
          </w:p>
        </w:tc>
        <w:tc>
          <w:tcPr>
            <w:tcW w:type="dxa" w:w="8160"/>
            <w:tcBorders>
              <w:top w:val="single" w:color="C4B5FD" w:sz="1"/>
              <w:left w:val="single" w:color="C4B5FD" w:sz="1"/>
              <w:bottom w:val="single" w:color="C4B5FD" w:sz="1"/>
              <w:right w:val="single" w:color="C4B5FD" w:sz="1"/>
            </w:tcBorders>
            <w:shd w:fill="F8FAFC" w:val="clear"/>
            <w:tcMar>
              <w:top w:type="dxa" w:w="80"/>
              <w:left w:type="dxa" w:w="160"/>
              <w:bottom w:type="dxa" w:w="80"/>
              <w:right w:type="dxa" w:w="160"/>
            </w:tcMar>
          </w:tcPr>
          <w:p>
            <w:r>
              <w:rPr>
                <w:rFonts w:ascii="Arial" w:cs="Arial" w:eastAsia="Arial" w:hAnsi="Arial"/>
                <w:color w:val="1F1F1F"/>
                <w:sz w:val="22"/>
                <w:szCs w:val="22"/>
              </w:rPr>
              <w:t xml:space="preserve">Seleccionar el día de hoy en el calendario</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3</w:t>
            </w:r>
          </w:p>
        </w:tc>
        <w:tc>
          <w:tcPr>
            <w:tcW w:type="dxa" w:w="8160"/>
            <w:tcBorders>
              <w:top w:val="single" w:color="C4B5FD" w:sz="1"/>
              <w:left w:val="single" w:color="C4B5FD" w:sz="1"/>
              <w:bottom w:val="single" w:color="C4B5FD" w:sz="1"/>
              <w:right w:val="single" w:color="C4B5FD" w:sz="1"/>
            </w:tcBorders>
            <w:shd w:fill="FFFFFF" w:val="clear"/>
            <w:tcMar>
              <w:top w:type="dxa" w:w="80"/>
              <w:left w:type="dxa" w:w="160"/>
              <w:bottom w:type="dxa" w:w="80"/>
              <w:right w:type="dxa" w:w="160"/>
            </w:tcMar>
          </w:tcPr>
          <w:p>
            <w:r>
              <w:rPr>
                <w:rFonts w:ascii="Arial" w:cs="Arial" w:eastAsia="Arial" w:hAnsi="Arial"/>
                <w:color w:val="1F1F1F"/>
                <w:sz w:val="22"/>
                <w:szCs w:val="22"/>
              </w:rPr>
              <w:t xml:space="preserve">Hacer clic en 'Iniciar Ciclo de Análisis Completo' y esperar 30-90 segundos</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4</w:t>
            </w:r>
          </w:p>
        </w:tc>
        <w:tc>
          <w:tcPr>
            <w:tcW w:type="dxa" w:w="8160"/>
            <w:tcBorders>
              <w:top w:val="single" w:color="C4B5FD" w:sz="1"/>
              <w:left w:val="single" w:color="C4B5FD" w:sz="1"/>
              <w:bottom w:val="single" w:color="C4B5FD" w:sz="1"/>
              <w:right w:val="single" w:color="C4B5FD" w:sz="1"/>
            </w:tcBorders>
            <w:shd w:fill="F8FAFC" w:val="clear"/>
            <w:tcMar>
              <w:top w:type="dxa" w:w="80"/>
              <w:left w:type="dxa" w:w="160"/>
              <w:bottom w:type="dxa" w:w="80"/>
              <w:right w:type="dxa" w:w="160"/>
            </w:tcMar>
          </w:tcPr>
          <w:p>
            <w:r>
              <w:rPr>
                <w:rFonts w:ascii="Arial" w:cs="Arial" w:eastAsia="Arial" w:hAnsi="Arial"/>
                <w:color w:val="1F1F1F"/>
                <w:sz w:val="22"/>
                <w:szCs w:val="22"/>
              </w:rPr>
              <w:t xml:space="preserve">Ir al Dashboard (/) para ver las métricas globales y alertas</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5</w:t>
            </w:r>
          </w:p>
        </w:tc>
        <w:tc>
          <w:tcPr>
            <w:tcW w:type="dxa" w:w="8160"/>
            <w:tcBorders>
              <w:top w:val="single" w:color="C4B5FD" w:sz="1"/>
              <w:left w:val="single" w:color="C4B5FD" w:sz="1"/>
              <w:bottom w:val="single" w:color="C4B5FD" w:sz="1"/>
              <w:right w:val="single" w:color="C4B5FD" w:sz="1"/>
            </w:tcBorders>
            <w:shd w:fill="FFFFFF" w:val="clear"/>
            <w:tcMar>
              <w:top w:type="dxa" w:w="80"/>
              <w:left w:type="dxa" w:w="160"/>
              <w:bottom w:type="dxa" w:w="80"/>
              <w:right w:type="dxa" w:w="160"/>
            </w:tcMar>
          </w:tcPr>
          <w:p>
            <w:r>
              <w:rPr>
                <w:rFonts w:ascii="Arial" w:cs="Arial" w:eastAsia="Arial" w:hAnsi="Arial"/>
                <w:color w:val="1F1F1F"/>
                <w:sz w:val="22"/>
                <w:szCs w:val="22"/>
              </w:rPr>
              <w:t xml:space="preserve">Ir a Licitaciones (/licitaciones) para revisar el detalle de cada contrato</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6</w:t>
            </w:r>
          </w:p>
        </w:tc>
        <w:tc>
          <w:tcPr>
            <w:tcW w:type="dxa" w:w="8160"/>
            <w:tcBorders>
              <w:top w:val="single" w:color="C4B5FD" w:sz="1"/>
              <w:left w:val="single" w:color="C4B5FD" w:sz="1"/>
              <w:bottom w:val="single" w:color="C4B5FD" w:sz="1"/>
              <w:right w:val="single" w:color="C4B5FD" w:sz="1"/>
            </w:tcBorders>
            <w:shd w:fill="F8FAFC" w:val="clear"/>
            <w:tcMar>
              <w:top w:type="dxa" w:w="80"/>
              <w:left w:type="dxa" w:w="160"/>
              <w:bottom w:type="dxa" w:w="80"/>
              <w:right w:type="dxa" w:w="160"/>
            </w:tcMar>
          </w:tcPr>
          <w:p>
            <w:r>
              <w:rPr>
                <w:rFonts w:ascii="Arial" w:cs="Arial" w:eastAsia="Arial" w:hAnsi="Arial"/>
                <w:color w:val="1F1F1F"/>
                <w:sz w:val="22"/>
                <w:szCs w:val="22"/>
              </w:rPr>
              <w:t xml:space="preserve">Filtrar por alertas para enfocarse en los casos de mayor riesgo</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7</w:t>
            </w:r>
          </w:p>
        </w:tc>
        <w:tc>
          <w:tcPr>
            <w:tcW w:type="dxa" w:w="8160"/>
            <w:tcBorders>
              <w:top w:val="single" w:color="C4B5FD" w:sz="1"/>
              <w:left w:val="single" w:color="C4B5FD" w:sz="1"/>
              <w:bottom w:val="single" w:color="C4B5FD" w:sz="1"/>
              <w:right w:val="single" w:color="C4B5FD" w:sz="1"/>
            </w:tcBorders>
            <w:shd w:fill="FFFFFF" w:val="clear"/>
            <w:tcMar>
              <w:top w:type="dxa" w:w="80"/>
              <w:left w:type="dxa" w:w="160"/>
              <w:bottom w:type="dxa" w:w="80"/>
              <w:right w:type="dxa" w:w="160"/>
            </w:tcMar>
          </w:tcPr>
          <w:p>
            <w:r>
              <w:rPr>
                <w:rFonts w:ascii="Arial" w:cs="Arial" w:eastAsia="Arial" w:hAnsi="Arial"/>
                <w:color w:val="1F1F1F"/>
                <w:sz w:val="22"/>
                <w:szCs w:val="22"/>
              </w:rPr>
              <w:t xml:space="preserve">Hacer clic en los links BORA para acceder a las publicaciones originales</w:t>
            </w:r>
          </w:p>
        </w:tc>
      </w:tr>
      <w:tr>
        <w:tc>
          <w:tcPr>
            <w:tcW w:type="dxa" w:w="1200"/>
            <w:tcBorders>
              <w:top w:val="single" w:color="C4B5FD" w:sz="1"/>
              <w:left w:val="single" w:color="C4B5FD" w:sz="1"/>
              <w:bottom w:val="single" w:color="C4B5FD" w:sz="1"/>
              <w:right w:val="single" w:color="C4B5FD" w:sz="1"/>
            </w:tcBorders>
            <w:shd w:fill="1E1B4B" w:val="clear"/>
            <w:tcMar>
              <w:top w:type="dxa" w:w="80"/>
              <w:left w:type="dxa" w:w="100"/>
              <w:bottom w:type="dxa" w:w="80"/>
              <w:right w:type="dxa" w:w="100"/>
            </w:tcMar>
          </w:tcPr>
          <w:p>
            <w:pPr>
              <w:jc w:val="center"/>
            </w:pPr>
            <w:r>
              <w:rPr>
                <w:rFonts w:ascii="Arial" w:cs="Arial" w:eastAsia="Arial" w:hAnsi="Arial"/>
                <w:b/>
                <w:bCs/>
                <w:color w:val="06B6D4"/>
                <w:sz w:val="28"/>
                <w:szCs w:val="28"/>
              </w:rPr>
              <w:t xml:space="preserve">8</w:t>
            </w:r>
          </w:p>
        </w:tc>
        <w:tc>
          <w:tcPr>
            <w:tcW w:type="dxa" w:w="8160"/>
            <w:tcBorders>
              <w:top w:val="single" w:color="C4B5FD" w:sz="1"/>
              <w:left w:val="single" w:color="C4B5FD" w:sz="1"/>
              <w:bottom w:val="single" w:color="C4B5FD" w:sz="1"/>
              <w:right w:val="single" w:color="C4B5FD" w:sz="1"/>
            </w:tcBorders>
            <w:shd w:fill="F8FAFC" w:val="clear"/>
            <w:tcMar>
              <w:top w:type="dxa" w:w="80"/>
              <w:left w:type="dxa" w:w="160"/>
              <w:bottom w:type="dxa" w:w="80"/>
              <w:right w:type="dxa" w:w="160"/>
            </w:tcMar>
          </w:tcPr>
          <w:p>
            <w:r>
              <w:rPr>
                <w:rFonts w:ascii="Arial" w:cs="Arial" w:eastAsia="Arial" w:hAnsi="Arial"/>
                <w:color w:val="1F1F1F"/>
                <w:sz w:val="22"/>
                <w:szCs w:val="22"/>
              </w:rPr>
              <w:t xml:space="preserve">Exportar o registrar los casos con índice XAI &gt; 8 para seguimiento</w:t>
            </w:r>
          </w:p>
        </w:tc>
      </w:tr>
    </w:tbl>
    <w:p>
      <w:pPr>
        <w:spacing w:after="80" w:before="80"/>
      </w:pPr>
      <w:r>
        <w:t xml:space="preserve"/>
      </w:r>
    </w:p>
    <w:p>
      <w:pPr>
        <w:pStyle w:val="Heading1"/>
        <w:spacing w:after="120" w:before="360"/>
      </w:pPr>
      <w:r>
        <w:rPr>
          <w:rFonts w:ascii="Arial" w:cs="Arial" w:eastAsia="Arial" w:hAnsi="Arial"/>
          <w:b/>
          <w:bCs/>
          <w:color w:val="1E1B4B"/>
          <w:sz w:val="36"/>
          <w:szCs w:val="36"/>
        </w:rPr>
        <w:t xml:space="preserve">9. Referencia bibliográfica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3F6A" w:sz="1"/>
              <w:left w:val="single" w:color="2A3F6A" w:sz="1"/>
              <w:bottom w:val="single" w:color="2A3F6A" w:sz="1"/>
              <w:right w:val="single" w:color="2A3F6A" w:sz="1"/>
            </w:tcBorders>
            <w:shd w:fill="131D35" w:val="clear"/>
            <w:tcMar>
              <w:top w:type="dxa" w:w="220"/>
              <w:left w:type="dxa" w:w="280"/>
              <w:bottom w:type="dxa" w:w="220"/>
              <w:right w:type="dxa" w:w="280"/>
            </w:tcMar>
          </w:tcPr>
          <w:p>
            <w:pPr>
              <w:spacing w:after="80" w:before="0"/>
            </w:pPr>
            <w:r>
              <w:rPr>
                <w:rFonts w:ascii="Arial" w:cs="Arial" w:eastAsia="Arial" w:hAnsi="Arial"/>
                <w:b/>
                <w:bCs/>
                <w:color w:val="06B6D4"/>
                <w:sz w:val="22"/>
                <w:szCs w:val="22"/>
              </w:rPr>
              <w:t xml:space="preserve">Monteverde, V.H. (2021).</w:t>
            </w:r>
          </w:p>
          <w:p>
            <w:pPr>
              <w:spacing w:after="80" w:before="0"/>
            </w:pPr>
            <w:r>
              <w:rPr>
                <w:rFonts w:ascii="Arial" w:cs="Arial" w:eastAsia="Arial" w:hAnsi="Arial"/>
                <w:i/>
                <w:iCs/>
                <w:color w:val="E2E8F0"/>
                <w:sz w:val="22"/>
                <w:szCs w:val="22"/>
              </w:rPr>
              <w:t xml:space="preserve">"Great corruption – theory of corrupt phenomena"</w:t>
            </w:r>
          </w:p>
          <w:p>
            <w:pPr>
              <w:spacing w:after="60" w:before="0"/>
            </w:pPr>
            <w:r>
              <w:rPr>
                <w:rFonts w:ascii="Arial" w:cs="Arial" w:eastAsia="Arial" w:hAnsi="Arial"/>
                <w:color w:val="94A3B8"/>
                <w:sz w:val="22"/>
                <w:szCs w:val="22"/>
              </w:rPr>
              <w:t xml:space="preserve">Journal of Financial Crime, Vol. 28 No. 2, pp. 580-592. Emerald Publishing.</w:t>
            </w:r>
          </w:p>
          <w:p>
            <w:pPr>
              <w:spacing w:after="40" w:before="0"/>
            </w:pPr>
            <w:r>
              <w:rPr>
                <w:rFonts w:ascii="Arial" w:cs="Arial" w:eastAsia="Arial" w:hAnsi="Arial"/>
                <w:color w:val="3B82F6"/>
                <w:sz w:val="22"/>
                <w:szCs w:val="22"/>
                <w:u w:val="single"/>
              </w:rPr>
              <w:t xml:space="preserve">DOI: 10.1108/JFC-03-2020-0054</w:t>
            </w:r>
          </w:p>
          <w:p>
            <w:pPr>
              <w:spacing w:after="0" w:before="0"/>
            </w:pPr>
            <w:r>
              <w:rPr>
                <w:rFonts w:ascii="Arial" w:cs="Arial" w:eastAsia="Arial" w:hAnsi="Arial"/>
                <w:color w:val="3B82F6"/>
                <w:sz w:val="22"/>
                <w:szCs w:val="22"/>
                <w:u w:val="single"/>
              </w:rPr>
              <w:t xml:space="preserve">URL: https://gobbocomprartgn-production.up.railway.app</w:t>
            </w:r>
          </w:p>
        </w:tc>
      </w:tr>
    </w:tbl>
    <w:p>
      <w:pPr>
        <w:spacing w:after="80" w:before="8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E1B4B"/>
      <w:sz w:val="36"/>
      <w:szCs w:val="36"/>
    </w:rPr>
  </w:style>
  <w:style w:type="paragraph" w:styleId="Heading2">
    <w:name w:val="Heading 2"/>
    <w:basedOn w:val="Normal"/>
    <w:next w:val="Normal"/>
    <w:qFormat/>
    <w:pPr>
      <w:spacing w:after="100" w:before="280"/>
      <w:outlineLvl w:val="1"/>
    </w:pPr>
    <w:rPr>
      <w:rFonts w:ascii="Arial" w:cs="Arial" w:eastAsia="Arial" w:hAnsi="Arial"/>
      <w:b/>
      <w:bCs/>
      <w:color w:val="1E40AF"/>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D4ED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2026-03-15T15:38:29.586Z</dcterms:created>
  <dcterms:modified xsi:type="dcterms:W3CDTF">2026-03-15T15:38:29.587Z</dcterms:modified>
</cp:coreProperties>
</file>

<file path=docProps/custom.xml><?xml version="1.0" encoding="utf-8"?>
<Properties xmlns="http://schemas.openxmlformats.org/officeDocument/2006/custom-properties" xmlns:vt="http://schemas.openxmlformats.org/officeDocument/2006/docPropsVTypes"/>
</file>