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b/>
          <w:bCs/>
          <w:color w:val="2b4fce"/>
          <w:sz w:val="56"/>
          <w:szCs w:val="56"/>
        </w:rPr>
        <w:t xml:space="preserve">Monitor XAI</w:t>
      </w:r>
    </w:p>
    <w:p>
      <w:pPr>
        <w:spacing w:after="60"/>
      </w:pPr>
      <w:r>
        <w:rPr>
          <w:rFonts w:ascii="Calibri" w:cs="Calibri" w:eastAsia="Calibri" w:hAnsi="Calibri"/>
          <w:color w:val="5a6480"/>
          <w:sz w:val="26"/>
          <w:szCs w:val="26"/>
        </w:rPr>
        <w:t xml:space="preserve">Public Contracts and Tenders Monitor</w:t>
      </w:r>
    </w:p>
    <w:p>
      <w:pPr>
        <w:spacing w:after="40"/>
      </w:pPr>
      <w:r>
        <w:rPr>
          <w:rFonts w:ascii="Calibri" w:cs="Calibri" w:eastAsia="Calibri" w:hAnsi="Calibri"/>
          <w:i/>
          <w:iCs/>
          <w:color w:val="5a6480"/>
          <w:sz w:val="22"/>
          <w:szCs w:val="22"/>
        </w:rPr>
        <w:t xml:space="preserve">Automatic detection of regressive income transfers in Argentine government procurement</w:t>
      </w:r>
    </w:p>
    <w:p>
      <w:pPr>
        <w:spacing w:after="40" w:before="300"/>
      </w:pPr>
      <w:r>
        <w:rPr>
          <w:rFonts w:ascii="Calibri" w:cs="Calibri" w:eastAsia="Calibri" w:hAnsi="Calibri"/>
          <w:b/>
          <w:bCs/>
          <w:sz w:val="24"/>
          <w:szCs w:val="24"/>
        </w:rPr>
        <w:t xml:space="preserve">User Manual</w:t>
      </w:r>
    </w:p>
    <w:p>
      <w:pPr>
        <w:spacing w:after="20"/>
      </w:pPr>
      <w:r>
        <w:rPr>
          <w:rFonts w:ascii="Calibri" w:cs="Calibri" w:eastAsia="Calibri" w:hAnsi="Calibri"/>
          <w:color w:val="5a6480"/>
          <w:sz w:val="20"/>
          <w:szCs w:val="20"/>
        </w:rPr>
        <w:t xml:space="preserve">Based on the Theory of Corrupt Phenomena by Ph.D. Vicente Humberto Monteverde</w:t>
      </w:r>
    </w:p>
    <w:p>
      <w:pPr>
        <w:spacing w:after="20"/>
      </w:pPr>
      <w:hyperlink w:history="1" r:id="rIddvqlh6dzomngr1zjyr480">
        <w:r>
          <w:rPr>
            <w:rFonts w:ascii="Calibri" w:cs="Calibri" w:eastAsia="Calibri" w:hAnsi="Calibri"/>
            <w:color w:val="1155cc"/>
            <w:sz w:val="22"/>
            <w:szCs w:val="22"/>
            <w:u w:val="single"/>
          </w:rPr>
          <w:t xml:space="preserve">gobbocomprartgn-production.up.railway.app</w:t>
        </w:r>
      </w:hyperlink>
    </w:p>
    <w:p>
      <w:pPr>
        <w:spacing w:after="400"/>
      </w:pPr>
      <w:r>
        <w:rPr>
          <w:rFonts w:ascii="Calibri" w:cs="Calibri" w:eastAsia="Calibri" w:hAnsi="Calibri"/>
          <w:color w:val="5a6480"/>
          <w:sz w:val="18"/>
          <w:szCs w:val="18"/>
        </w:rPr>
        <w:t xml:space="preserve">Manual version: August 2026</w:t>
      </w:r>
    </w:p>
    <w:p>
      <w:pPr>
        <w:pStyle w:val="Heading2"/>
        <w:spacing w:after="120" w:before="260"/>
      </w:pPr>
      <w:r>
        <w:rPr>
          <w:rFonts w:ascii="Calibri" w:cs="Calibri" w:eastAsia="Calibri" w:hAnsi="Calibri"/>
          <w:b/>
          <w:bCs/>
          <w:color w:val="1a1a2e"/>
          <w:sz w:val="26"/>
          <w:szCs w:val="26"/>
        </w:rPr>
        <w:t xml:space="preserve">Table of Contents</w:t>
      </w:r>
    </w:p>
    <w:p>
      <w:pPr>
        <w:spacing w:after="140" w:line="300"/>
      </w:pPr>
      <w:r>
        <w:rPr>
          <w:rFonts w:ascii="Calibri" w:cs="Calibri" w:eastAsia="Calibri" w:hAnsi="Calibri"/>
          <w:b w:val="false"/>
          <w:bCs w:val="false"/>
          <w:i w:val="false"/>
          <w:iCs w:val="false"/>
          <w:color w:val="222222"/>
          <w:sz w:val="22"/>
          <w:szCs w:val="22"/>
        </w:rPr>
        <w:t xml:space="preserve">1. What is Monitor XAI?</w:t>
      </w:r>
    </w:p>
    <w:p>
      <w:pPr>
        <w:spacing w:after="140" w:line="300"/>
      </w:pPr>
      <w:r>
        <w:rPr>
          <w:rFonts w:ascii="Calibri" w:cs="Calibri" w:eastAsia="Calibri" w:hAnsi="Calibri"/>
          <w:b w:val="false"/>
          <w:bCs w:val="false"/>
          <w:i w:val="false"/>
          <w:iCs w:val="false"/>
          <w:color w:val="222222"/>
          <w:sz w:val="22"/>
          <w:szCs w:val="22"/>
        </w:rPr>
        <w:t xml:space="preserve">2. Theoretical foundation — The 7 scenarios of the XAI Matrix</w:t>
      </w:r>
    </w:p>
    <w:p>
      <w:pPr>
        <w:spacing w:after="140" w:line="300"/>
      </w:pPr>
      <w:r>
        <w:rPr>
          <w:rFonts w:ascii="Calibri" w:cs="Calibri" w:eastAsia="Calibri" w:hAnsi="Calibri"/>
          <w:b w:val="false"/>
          <w:bCs w:val="false"/>
          <w:i w:val="false"/>
          <w:iCs w:val="false"/>
          <w:color w:val="222222"/>
          <w:sz w:val="22"/>
          <w:szCs w:val="22"/>
        </w:rPr>
        <w:t xml:space="preserve">3. Navigation structure</w:t>
      </w:r>
    </w:p>
    <w:p>
      <w:pPr>
        <w:spacing w:after="140" w:line="300"/>
      </w:pPr>
      <w:r>
        <w:rPr>
          <w:rFonts w:ascii="Calibri" w:cs="Calibri" w:eastAsia="Calibri" w:hAnsi="Calibri"/>
          <w:b w:val="false"/>
          <w:bCs w:val="false"/>
          <w:i w:val="false"/>
          <w:iCs w:val="false"/>
          <w:color w:val="222222"/>
          <w:sz w:val="22"/>
          <w:szCs w:val="22"/>
        </w:rPr>
        <w:t xml:space="preserve">4. Dashboard</w:t>
      </w:r>
    </w:p>
    <w:p>
      <w:pPr>
        <w:spacing w:after="140" w:line="300"/>
      </w:pPr>
      <w:r>
        <w:rPr>
          <w:rFonts w:ascii="Calibri" w:cs="Calibri" w:eastAsia="Calibri" w:hAnsi="Calibri"/>
          <w:b w:val="false"/>
          <w:bCs w:val="false"/>
          <w:i w:val="false"/>
          <w:iCs w:val="false"/>
          <w:color w:val="222222"/>
          <w:sz w:val="22"/>
          <w:szCs w:val="22"/>
        </w:rPr>
        <w:t xml:space="preserve">5. Live Analysis</w:t>
      </w:r>
    </w:p>
    <w:p>
      <w:pPr>
        <w:spacing w:after="140" w:line="300"/>
      </w:pPr>
      <w:r>
        <w:rPr>
          <w:rFonts w:ascii="Calibri" w:cs="Calibri" w:eastAsia="Calibri" w:hAnsi="Calibri"/>
          <w:b w:val="false"/>
          <w:bCs w:val="false"/>
          <w:i w:val="false"/>
          <w:iCs w:val="false"/>
          <w:color w:val="222222"/>
          <w:sz w:val="22"/>
          <w:szCs w:val="22"/>
        </w:rPr>
        <w:t xml:space="preserve">6. Tenders — BORA → Comprar → TGN Cross-Referenced Flow</w:t>
      </w:r>
    </w:p>
    <w:p>
      <w:pPr>
        <w:spacing w:after="140" w:line="300"/>
      </w:pPr>
      <w:r>
        <w:rPr>
          <w:rFonts w:ascii="Calibri" w:cs="Calibri" w:eastAsia="Calibri" w:hAnsi="Calibri"/>
          <w:b w:val="false"/>
          <w:bCs w:val="false"/>
          <w:i w:val="false"/>
          <w:iCs w:val="false"/>
          <w:color w:val="222222"/>
          <w:sz w:val="22"/>
          <w:szCs w:val="22"/>
        </w:rPr>
        <w:t xml:space="preserve">7. CUIT format validation (new feature)</w:t>
      </w:r>
    </w:p>
    <w:p>
      <w:pPr>
        <w:spacing w:after="140" w:line="300"/>
      </w:pPr>
      <w:r>
        <w:rPr>
          <w:rFonts w:ascii="Calibri" w:cs="Calibri" w:eastAsia="Calibri" w:hAnsi="Calibri"/>
          <w:b w:val="false"/>
          <w:bCs w:val="false"/>
          <w:i w:val="false"/>
          <w:iCs w:val="false"/>
          <w:color w:val="222222"/>
          <w:sz w:val="22"/>
          <w:szCs w:val="22"/>
        </w:rPr>
        <w:t xml:space="preserve">8. International sanctions cross-reference (MEACI)</w:t>
      </w:r>
    </w:p>
    <w:p>
      <w:pPr>
        <w:spacing w:after="140" w:line="300"/>
      </w:pPr>
      <w:r>
        <w:rPr>
          <w:rFonts w:ascii="Calibri" w:cs="Calibri" w:eastAsia="Calibri" w:hAnsi="Calibri"/>
          <w:b w:val="false"/>
          <w:bCs w:val="false"/>
          <w:i w:val="false"/>
          <w:iCs w:val="false"/>
          <w:color w:val="222222"/>
          <w:sz w:val="22"/>
          <w:szCs w:val="22"/>
        </w:rPr>
        <w:t xml:space="preserve">9. Documentation and how to interpret results</w:t>
      </w:r>
    </w:p>
    <w:p>
      <w:pPr>
        <w:spacing w:after="140" w:line="300"/>
      </w:pPr>
      <w:r>
        <w:rPr>
          <w:rFonts w:ascii="Calibri" w:cs="Calibri" w:eastAsia="Calibri" w:hAnsi="Calibri"/>
          <w:b w:val="false"/>
          <w:bCs w:val="false"/>
          <w:i w:val="false"/>
          <w:iCs w:val="false"/>
          <w:color w:val="222222"/>
          <w:sz w:val="22"/>
          <w:szCs w:val="22"/>
        </w:rPr>
        <w:t xml:space="preserve">10. REST API</w:t>
      </w:r>
    </w:p>
    <w:p>
      <w:pPr>
        <w:spacing w:after="140" w:line="300"/>
      </w:pPr>
      <w:r>
        <w:rPr>
          <w:rFonts w:ascii="Calibri" w:cs="Calibri" w:eastAsia="Calibri" w:hAnsi="Calibri"/>
          <w:b w:val="false"/>
          <w:bCs w:val="false"/>
          <w:i w:val="false"/>
          <w:iCs w:val="false"/>
          <w:color w:val="222222"/>
          <w:sz w:val="22"/>
          <w:szCs w:val="22"/>
        </w:rPr>
        <w:t xml:space="preserve">11. Recommended workflow</w:t>
      </w:r>
    </w:p>
    <w:p>
      <w:pPr>
        <w:spacing w:after="140" w:line="300"/>
      </w:pPr>
      <w:r>
        <w:rPr>
          <w:rFonts w:ascii="Calibri" w:cs="Calibri" w:eastAsia="Calibri" w:hAnsi="Calibri"/>
          <w:b w:val="false"/>
          <w:bCs w:val="false"/>
          <w:i w:val="false"/>
          <w:iCs w:val="false"/>
          <w:color w:val="222222"/>
          <w:sz w:val="22"/>
          <w:szCs w:val="22"/>
        </w:rPr>
        <w:t xml:space="preserve">12. Disclaimer</w:t>
      </w:r>
    </w:p>
    <w:p>
      <w:r>
        <w:br w:type="page"/>
      </w:r>
    </w:p>
    <w:p>
      <w:pPr>
        <w:pStyle w:val="Heading1"/>
        <w:pBdr>
          <w:bottom w:val="single" w:color="2b4fce" w:sz="6" w:space="4"/>
        </w:pBdr>
        <w:spacing w:after="160" w:before="400"/>
      </w:pPr>
      <w:r>
        <w:rPr>
          <w:rFonts w:ascii="Calibri" w:cs="Calibri" w:eastAsia="Calibri" w:hAnsi="Calibri"/>
          <w:b/>
          <w:bCs/>
          <w:color w:val="2b4fce"/>
          <w:sz w:val="32"/>
          <w:szCs w:val="32"/>
        </w:rPr>
        <w:t xml:space="preserve">1. What is Monitor XAI?</w:t>
      </w:r>
    </w:p>
    <w:p>
      <w:pPr>
        <w:spacing w:after="140" w:line="300"/>
      </w:pPr>
      <w:r>
        <w:rPr>
          <w:rFonts w:ascii="Calibri" w:cs="Calibri" w:eastAsia="Calibri" w:hAnsi="Calibri"/>
          <w:b w:val="false"/>
          <w:bCs w:val="false"/>
          <w:i w:val="false"/>
          <w:iCs w:val="false"/>
          <w:color w:val="222222"/>
          <w:sz w:val="22"/>
          <w:szCs w:val="22"/>
        </w:rPr>
        <w:t xml:space="preserve">Monitor XAI (eXplainable Artificial Intelligence) is a web platform for automated auditing of Argentine public spending. It cross-references three official sources — the Official Gazette of Argentina (BORA), the Comprar.gob.ar procurement portal, and the National Treasury (TGN) — and applies a 7-scenario matrix developed by Ph.D. Vicente Humberto Monteverde to detect regressive income transfer patterns: legal state decisions that systematically move resources from sectors with less bargaining power to sectors with more.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ff6e5" w:val="clear"/>
            <w:tcMar>
              <w:top w:type="dxa" w:w="140"/>
              <w:left w:type="dxa" w:w="180"/>
              <w:bottom w:type="dxa" w:w="140"/>
              <w:right w:type="dxa" w:w="180"/>
            </w:tcMar>
          </w:tcPr>
          <w:p>
            <w:pPr>
              <w:spacing w:after="80" w:line="280"/>
            </w:pPr>
            <w:r>
              <w:rPr>
                <w:rFonts w:ascii="Calibri" w:cs="Calibri" w:eastAsia="Calibri" w:hAnsi="Calibri"/>
                <w:color w:val="3a3200"/>
                <w:sz w:val="21"/>
                <w:szCs w:val="21"/>
              </w:rPr>
              <w:t xml:space="preserve">Important: this system does NOT detect criminal offenses, is not a whistleblowing channel, and does not analyze the corruption of individual people.</w:t>
            </w:r>
          </w:p>
          <w:p>
            <w:pPr>
              <w:spacing w:after="0" w:line="280"/>
            </w:pPr>
            <w:r>
              <w:rPr>
                <w:rFonts w:ascii="Calibri" w:cs="Calibri" w:eastAsia="Calibri" w:hAnsi="Calibri"/>
                <w:color w:val="3a3200"/>
                <w:sz w:val="21"/>
                <w:szCs w:val="21"/>
              </w:rPr>
              <w:t xml:space="preserve">What it DOES do: it analyzes discretionary state decisions, detects regressive economic transfers, and generates evidence-based early warnings, as a transparency tool.</w:t>
            </w:r>
          </w:p>
        </w:tc>
      </w:tr>
    </w:tbl>
    <w:p>
      <w:pPr>
        <w:pStyle w:val="Heading2"/>
        <w:spacing w:after="120" w:before="260"/>
      </w:pPr>
      <w:r>
        <w:rPr>
          <w:rFonts w:ascii="Calibri" w:cs="Calibri" w:eastAsia="Calibri" w:hAnsi="Calibri"/>
          <w:b/>
          <w:bCs/>
          <w:color w:val="1a1a2e"/>
          <w:sz w:val="26"/>
          <w:szCs w:val="26"/>
        </w:rPr>
        <w:t xml:space="preserve">1.1 The three data sources</w:t>
      </w:r>
    </w:p>
    <w:p>
      <w:pPr>
        <w:pStyle w:val="ListParagraph"/>
        <w:numPr>
          <w:ilvl w:val="0"/>
          <w:numId w:val="2"/>
        </w:numPr>
        <w:spacing w:after="80" w:line="280"/>
      </w:pPr>
      <w:r>
        <w:rPr>
          <w:rFonts w:ascii="Calibri" w:cs="Calibri" w:eastAsia="Calibri" w:hAnsi="Calibri"/>
          <w:b w:val="false"/>
          <w:bCs w:val="false"/>
          <w:sz w:val="22"/>
          <w:szCs w:val="22"/>
        </w:rPr>
        <w:t xml:space="preserve">Official Gazette (BORA) — Section 3: notices of tenders and awards published by government agencies.</w:t>
      </w:r>
    </w:p>
    <w:p>
      <w:pPr>
        <w:pStyle w:val="ListParagraph"/>
        <w:numPr>
          <w:ilvl w:val="0"/>
          <w:numId w:val="2"/>
        </w:numPr>
        <w:spacing w:after="80" w:line="280"/>
      </w:pPr>
      <w:r>
        <w:rPr>
          <w:rFonts w:ascii="Calibri" w:cs="Calibri" w:eastAsia="Calibri" w:hAnsi="Calibri"/>
          <w:b w:val="false"/>
          <w:bCs w:val="false"/>
          <w:sz w:val="22"/>
          <w:szCs w:val="22"/>
        </w:rPr>
        <w:t xml:space="preserve">Comprar.gob.ar: the official public procurement portal, with the detail of each contracting process.</w:t>
      </w:r>
    </w:p>
    <w:p>
      <w:pPr>
        <w:pStyle w:val="ListParagraph"/>
        <w:numPr>
          <w:ilvl w:val="0"/>
          <w:numId w:val="2"/>
        </w:numPr>
        <w:spacing w:after="80" w:line="280"/>
      </w:pPr>
      <w:r>
        <w:rPr>
          <w:rFonts w:ascii="Calibri" w:cs="Calibri" w:eastAsia="Calibri" w:hAnsi="Calibri"/>
          <w:b w:val="false"/>
          <w:bCs w:val="false"/>
          <w:sz w:val="22"/>
          <w:szCs w:val="22"/>
        </w:rPr>
        <w:t xml:space="preserve">National Treasury (TGN): confirms whether the awarded vendor actually received payment.</w:t>
      </w:r>
    </w:p>
    <w:p>
      <w:pPr>
        <w:spacing w:after="140" w:line="300"/>
      </w:pPr>
      <w:r>
        <w:rPr>
          <w:rFonts w:ascii="Calibri" w:cs="Calibri" w:eastAsia="Calibri" w:hAnsi="Calibri"/>
          <w:b w:val="false"/>
          <w:bCs w:val="false"/>
          <w:i w:val="false"/>
          <w:iCs w:val="false"/>
          <w:color w:val="222222"/>
          <w:sz w:val="22"/>
          <w:szCs w:val="22"/>
        </w:rPr>
        <w:t xml:space="preserve">When the same contract appears in all three sources — published in BORA, registered in Comprar.gob.ar, and paid by the TGN — the system flags it as "Complete Flow", i.e. fully traceable from the decision to the payment.</w:t>
      </w:r>
    </w:p>
    <w:p>
      <w:pPr>
        <w:pStyle w:val="Heading1"/>
        <w:pBdr>
          <w:bottom w:val="single" w:color="2b4fce" w:sz="6" w:space="4"/>
        </w:pBdr>
        <w:spacing w:after="160" w:before="400"/>
      </w:pPr>
      <w:r>
        <w:rPr>
          <w:rFonts w:ascii="Calibri" w:cs="Calibri" w:eastAsia="Calibri" w:hAnsi="Calibri"/>
          <w:b/>
          <w:bCs/>
          <w:color w:val="2b4fce"/>
          <w:sz w:val="32"/>
          <w:szCs w:val="32"/>
        </w:rPr>
        <w:t xml:space="preserve">2. Theoretical foundation — The 7 scenarios of the XAI Matrix</w:t>
      </w:r>
    </w:p>
    <w:p>
      <w:pPr>
        <w:spacing w:after="140" w:line="300"/>
      </w:pPr>
      <w:r>
        <w:rPr>
          <w:rFonts w:ascii="Calibri" w:cs="Calibri" w:eastAsia="Calibri" w:hAnsi="Calibri"/>
          <w:b w:val="false"/>
          <w:bCs w:val="false"/>
          <w:i w:val="false"/>
          <w:iCs w:val="false"/>
          <w:color w:val="222222"/>
          <w:sz w:val="22"/>
          <w:szCs w:val="22"/>
        </w:rPr>
        <w:t xml:space="preserve">Grand corruption is not limited to illegal acts. According to Dr. Monteverde's research (Journal of Financial Crime, 2020), modern corruption has diversified into legal phenomena that produce the same economic consequences: regressive income transfers disguised as public policy.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200"/>
        <w:gridCol w:w="1650"/>
        <w:gridCol w:w="3500"/>
      </w:tblGrid>
      <w:tr>
        <w:trPr>
          <w:tblHeader/>
        </w:trPr>
        <w:tc>
          <w:tcPr>
            <w:tcW w:type="dxa" w:w="4200"/>
            <w:shd w:fill="2b4fce" w:color="2b4fce" w:val="clear"/>
            <w:tcMar>
              <w:top w:type="dxa" w:w="90"/>
              <w:left w:type="dxa" w:w="120"/>
              <w:bottom w:type="dxa" w:w="90"/>
              <w:right w:type="dxa" w:w="120"/>
            </w:tcMar>
          </w:tcPr>
          <w:p>
            <w:r>
              <w:rPr>
                <w:rFonts w:ascii="Calibri" w:cs="Calibri" w:eastAsia="Calibri" w:hAnsi="Calibri"/>
                <w:b/>
                <w:bCs/>
                <w:color w:val="FFFFFF"/>
                <w:sz w:val="20"/>
                <w:szCs w:val="20"/>
              </w:rPr>
              <w:t xml:space="preserve">Scenario</w:t>
            </w:r>
          </w:p>
        </w:tc>
        <w:tc>
          <w:tcPr>
            <w:tcW w:type="dxa" w:w="1650"/>
            <w:shd w:fill="2b4fce" w:color="2b4fce" w:val="clear"/>
            <w:tcMar>
              <w:top w:type="dxa" w:w="90"/>
              <w:left w:type="dxa" w:w="120"/>
              <w:bottom w:type="dxa" w:w="90"/>
              <w:right w:type="dxa" w:w="120"/>
            </w:tcMar>
          </w:tcPr>
          <w:p>
            <w:r>
              <w:rPr>
                <w:rFonts w:ascii="Calibri" w:cs="Calibri" w:eastAsia="Calibri" w:hAnsi="Calibri"/>
                <w:b/>
                <w:bCs/>
                <w:color w:val="FFFFFF"/>
                <w:sz w:val="20"/>
                <w:szCs w:val="20"/>
              </w:rPr>
              <w:t xml:space="preserve">XAI Weight</w:t>
            </w:r>
          </w:p>
        </w:tc>
        <w:tc>
          <w:tcPr>
            <w:tcW w:type="dxa" w:w="3500"/>
            <w:shd w:fill="2b4fce" w:color="2b4fce" w:val="clear"/>
            <w:tcMar>
              <w:top w:type="dxa" w:w="90"/>
              <w:left w:type="dxa" w:w="120"/>
              <w:bottom w:type="dxa" w:w="90"/>
              <w:right w:type="dxa" w:w="120"/>
            </w:tcMar>
          </w:tcPr>
          <w:p>
            <w:r>
              <w:rPr>
                <w:rFonts w:ascii="Calibri" w:cs="Calibri" w:eastAsia="Calibri" w:hAnsi="Calibri"/>
                <w:b/>
                <w:bCs/>
                <w:color w:val="FFFFFF"/>
                <w:sz w:val="20"/>
                <w:szCs w:val="20"/>
              </w:rPr>
              <w:t xml:space="preserve">Direction of the transfer</w:t>
            </w:r>
          </w:p>
        </w:tc>
      </w:tr>
      <w:tr>
        <w:tc>
          <w:tcPr>
            <w:tcW w:type="dxa" w:w="4200"/>
            <w:shd w:fill="FFFFFF" w:val="clear"/>
            <w:tcMar>
              <w:top w:type="dxa" w:w="80"/>
              <w:left w:type="dxa" w:w="120"/>
              <w:bottom w:type="dxa" w:w="80"/>
              <w:right w:type="dxa" w:w="120"/>
            </w:tcMar>
          </w:tcPr>
          <w:p>
            <w:r>
              <w:rPr>
                <w:rFonts w:ascii="Calibri" w:cs="Calibri" w:eastAsia="Calibri" w:hAnsi="Calibri"/>
                <w:sz w:val="20"/>
                <w:szCs w:val="20"/>
              </w:rPr>
              <w:t xml:space="preserve">Privatization / Concession</w:t>
            </w:r>
          </w:p>
        </w:tc>
        <w:tc>
          <w:tcPr>
            <w:tcW w:type="dxa" w:w="1650"/>
            <w:shd w:fill="FFFFFF" w:val="clear"/>
            <w:tcMar>
              <w:top w:type="dxa" w:w="80"/>
              <w:left w:type="dxa" w:w="120"/>
              <w:bottom w:type="dxa" w:w="80"/>
              <w:right w:type="dxa" w:w="120"/>
            </w:tcMar>
          </w:tcPr>
          <w:p>
            <w:r>
              <w:rPr>
                <w:rFonts w:ascii="Calibri" w:cs="Calibri" w:eastAsia="Calibri" w:hAnsi="Calibri"/>
                <w:sz w:val="20"/>
                <w:szCs w:val="20"/>
              </w:rPr>
              <w:t xml:space="preserve">9.0</w:t>
            </w:r>
          </w:p>
        </w:tc>
        <w:tc>
          <w:tcPr>
            <w:tcW w:type="dxa" w:w="3500"/>
            <w:shd w:fill="FFFFFF" w:val="clear"/>
            <w:tcMar>
              <w:top w:type="dxa" w:w="80"/>
              <w:left w:type="dxa" w:w="120"/>
              <w:bottom w:type="dxa" w:w="80"/>
              <w:right w:type="dxa" w:w="120"/>
            </w:tcMar>
          </w:tcPr>
          <w:p>
            <w:r>
              <w:rPr>
                <w:rFonts w:ascii="Calibri" w:cs="Calibri" w:eastAsia="Calibri" w:hAnsi="Calibri"/>
                <w:sz w:val="20"/>
                <w:szCs w:val="20"/>
              </w:rPr>
              <w:t xml:space="preserve">State → Private sector</w:t>
            </w:r>
          </w:p>
        </w:tc>
      </w:tr>
      <w:tr>
        <w:tc>
          <w:tcPr>
            <w:tcW w:type="dxa" w:w="4200"/>
            <w:shd w:fill="f5f7fc" w:val="clear"/>
            <w:tcMar>
              <w:top w:type="dxa" w:w="80"/>
              <w:left w:type="dxa" w:w="120"/>
              <w:bottom w:type="dxa" w:w="80"/>
              <w:right w:type="dxa" w:w="120"/>
            </w:tcMar>
          </w:tcPr>
          <w:p>
            <w:r>
              <w:rPr>
                <w:rFonts w:ascii="Calibri" w:cs="Calibri" w:eastAsia="Calibri" w:hAnsi="Calibri"/>
                <w:sz w:val="20"/>
                <w:szCs w:val="20"/>
              </w:rPr>
              <w:t xml:space="preserve">Public Works / Contracts</w:t>
            </w:r>
          </w:p>
        </w:tc>
        <w:tc>
          <w:tcPr>
            <w:tcW w:type="dxa" w:w="1650"/>
            <w:shd w:fill="f5f7fc" w:val="clear"/>
            <w:tcMar>
              <w:top w:type="dxa" w:w="80"/>
              <w:left w:type="dxa" w:w="120"/>
              <w:bottom w:type="dxa" w:w="80"/>
              <w:right w:type="dxa" w:w="120"/>
            </w:tcMar>
          </w:tcPr>
          <w:p>
            <w:r>
              <w:rPr>
                <w:rFonts w:ascii="Calibri" w:cs="Calibri" w:eastAsia="Calibri" w:hAnsi="Calibri"/>
                <w:sz w:val="20"/>
                <w:szCs w:val="20"/>
              </w:rPr>
              <w:t xml:space="preserve">8.0</w:t>
            </w:r>
          </w:p>
        </w:tc>
        <w:tc>
          <w:tcPr>
            <w:tcW w:type="dxa" w:w="3500"/>
            <w:shd w:fill="f5f7fc" w:val="clear"/>
            <w:tcMar>
              <w:top w:type="dxa" w:w="80"/>
              <w:left w:type="dxa" w:w="120"/>
              <w:bottom w:type="dxa" w:w="80"/>
              <w:right w:type="dxa" w:w="120"/>
            </w:tcMar>
          </w:tcPr>
          <w:p>
            <w:r>
              <w:rPr>
                <w:rFonts w:ascii="Calibri" w:cs="Calibri" w:eastAsia="Calibri" w:hAnsi="Calibri"/>
                <w:sz w:val="20"/>
                <w:szCs w:val="20"/>
              </w:rPr>
              <w:t xml:space="preserve">State → Contracting firms</w:t>
            </w:r>
          </w:p>
        </w:tc>
      </w:tr>
      <w:tr>
        <w:tc>
          <w:tcPr>
            <w:tcW w:type="dxa" w:w="4200"/>
            <w:shd w:fill="FFFFFF" w:val="clear"/>
            <w:tcMar>
              <w:top w:type="dxa" w:w="80"/>
              <w:left w:type="dxa" w:w="120"/>
              <w:bottom w:type="dxa" w:w="80"/>
              <w:right w:type="dxa" w:w="120"/>
            </w:tcMar>
          </w:tcPr>
          <w:p>
            <w:r>
              <w:rPr>
                <w:rFonts w:ascii="Calibri" w:cs="Calibri" w:eastAsia="Calibri" w:hAnsi="Calibri"/>
                <w:sz w:val="20"/>
                <w:szCs w:val="20"/>
              </w:rPr>
              <w:t xml:space="preserve">Public Utility Tariffs</w:t>
            </w:r>
          </w:p>
        </w:tc>
        <w:tc>
          <w:tcPr>
            <w:tcW w:type="dxa" w:w="1650"/>
            <w:shd w:fill="FFFFFF" w:val="clear"/>
            <w:tcMar>
              <w:top w:type="dxa" w:w="80"/>
              <w:left w:type="dxa" w:w="120"/>
              <w:bottom w:type="dxa" w:w="80"/>
              <w:right w:type="dxa" w:w="120"/>
            </w:tcMar>
          </w:tcPr>
          <w:p>
            <w:r>
              <w:rPr>
                <w:rFonts w:ascii="Calibri" w:cs="Calibri" w:eastAsia="Calibri" w:hAnsi="Calibri"/>
                <w:sz w:val="20"/>
                <w:szCs w:val="20"/>
              </w:rPr>
              <w:t xml:space="preserve">7.0</w:t>
            </w:r>
          </w:p>
        </w:tc>
        <w:tc>
          <w:tcPr>
            <w:tcW w:type="dxa" w:w="3500"/>
            <w:shd w:fill="FFFFFF" w:val="clear"/>
            <w:tcMar>
              <w:top w:type="dxa" w:w="80"/>
              <w:left w:type="dxa" w:w="120"/>
              <w:bottom w:type="dxa" w:w="80"/>
              <w:right w:type="dxa" w:w="120"/>
            </w:tcMar>
          </w:tcPr>
          <w:p>
            <w:r>
              <w:rPr>
                <w:rFonts w:ascii="Calibri" w:cs="Calibri" w:eastAsia="Calibri" w:hAnsi="Calibri"/>
                <w:sz w:val="20"/>
                <w:szCs w:val="20"/>
              </w:rPr>
              <w:t xml:space="preserve">Users → Utility companies</w:t>
            </w:r>
          </w:p>
        </w:tc>
      </w:tr>
      <w:tr>
        <w:tc>
          <w:tcPr>
            <w:tcW w:type="dxa" w:w="4200"/>
            <w:shd w:fill="f5f7fc" w:val="clear"/>
            <w:tcMar>
              <w:top w:type="dxa" w:w="80"/>
              <w:left w:type="dxa" w:w="120"/>
              <w:bottom w:type="dxa" w:w="80"/>
              <w:right w:type="dxa" w:w="120"/>
            </w:tcMar>
          </w:tcPr>
          <w:p>
            <w:r>
              <w:rPr>
                <w:rFonts w:ascii="Calibri" w:cs="Calibri" w:eastAsia="Calibri" w:hAnsi="Calibri"/>
                <w:sz w:val="20"/>
                <w:szCs w:val="20"/>
              </w:rPr>
              <w:t xml:space="preserve">Regulated Prices</w:t>
            </w:r>
          </w:p>
        </w:tc>
        <w:tc>
          <w:tcPr>
            <w:tcW w:type="dxa" w:w="1650"/>
            <w:shd w:fill="f5f7fc" w:val="clear"/>
            <w:tcMar>
              <w:top w:type="dxa" w:w="80"/>
              <w:left w:type="dxa" w:w="120"/>
              <w:bottom w:type="dxa" w:w="80"/>
              <w:right w:type="dxa" w:w="120"/>
            </w:tcMar>
          </w:tcPr>
          <w:p>
            <w:r>
              <w:rPr>
                <w:rFonts w:ascii="Calibri" w:cs="Calibri" w:eastAsia="Calibri" w:hAnsi="Calibri"/>
                <w:sz w:val="20"/>
                <w:szCs w:val="20"/>
              </w:rPr>
              <w:t xml:space="preserve">6.0</w:t>
            </w:r>
          </w:p>
        </w:tc>
        <w:tc>
          <w:tcPr>
            <w:tcW w:type="dxa" w:w="3500"/>
            <w:shd w:fill="f5f7fc" w:val="clear"/>
            <w:tcMar>
              <w:top w:type="dxa" w:w="80"/>
              <w:left w:type="dxa" w:w="120"/>
              <w:bottom w:type="dxa" w:w="80"/>
              <w:right w:type="dxa" w:w="120"/>
            </w:tcMar>
          </w:tcPr>
          <w:p>
            <w:r>
              <w:rPr>
                <w:rFonts w:ascii="Calibri" w:cs="Calibri" w:eastAsia="Calibri" w:hAnsi="Calibri"/>
                <w:sz w:val="20"/>
                <w:szCs w:val="20"/>
              </w:rPr>
              <w:t xml:space="preserve">Consumers → Producers</w:t>
            </w:r>
          </w:p>
        </w:tc>
      </w:tr>
      <w:tr>
        <w:tc>
          <w:tcPr>
            <w:tcW w:type="dxa" w:w="4200"/>
            <w:shd w:fill="FFFFFF" w:val="clear"/>
            <w:tcMar>
              <w:top w:type="dxa" w:w="80"/>
              <w:left w:type="dxa" w:w="120"/>
              <w:bottom w:type="dxa" w:w="80"/>
              <w:right w:type="dxa" w:w="120"/>
            </w:tcMar>
          </w:tcPr>
          <w:p>
            <w:r>
              <w:rPr>
                <w:rFonts w:ascii="Calibri" w:cs="Calibri" w:eastAsia="Calibri" w:hAnsi="Calibri"/>
                <w:sz w:val="20"/>
                <w:szCs w:val="20"/>
              </w:rPr>
              <w:t xml:space="preserve">Wages and Collective Bargaining</w:t>
            </w:r>
          </w:p>
        </w:tc>
        <w:tc>
          <w:tcPr>
            <w:tcW w:type="dxa" w:w="1650"/>
            <w:shd w:fill="FFFFFF" w:val="clear"/>
            <w:tcMar>
              <w:top w:type="dxa" w:w="80"/>
              <w:left w:type="dxa" w:w="120"/>
              <w:bottom w:type="dxa" w:w="80"/>
              <w:right w:type="dxa" w:w="120"/>
            </w:tcMar>
          </w:tcPr>
          <w:p>
            <w:r>
              <w:rPr>
                <w:rFonts w:ascii="Calibri" w:cs="Calibri" w:eastAsia="Calibri" w:hAnsi="Calibri"/>
                <w:sz w:val="20"/>
                <w:szCs w:val="20"/>
              </w:rPr>
              <w:t xml:space="preserve">5.0</w:t>
            </w:r>
          </w:p>
        </w:tc>
        <w:tc>
          <w:tcPr>
            <w:tcW w:type="dxa" w:w="3500"/>
            <w:shd w:fill="FFFFFF" w:val="clear"/>
            <w:tcMar>
              <w:top w:type="dxa" w:w="80"/>
              <w:left w:type="dxa" w:w="120"/>
              <w:bottom w:type="dxa" w:w="80"/>
              <w:right w:type="dxa" w:w="120"/>
            </w:tcMar>
          </w:tcPr>
          <w:p>
            <w:r>
              <w:rPr>
                <w:rFonts w:ascii="Calibri" w:cs="Calibri" w:eastAsia="Calibri" w:hAnsi="Calibri"/>
                <w:sz w:val="20"/>
                <w:szCs w:val="20"/>
              </w:rPr>
              <w:t xml:space="preserve">Employees → Employers</w:t>
            </w:r>
          </w:p>
        </w:tc>
      </w:tr>
      <w:tr>
        <w:tc>
          <w:tcPr>
            <w:tcW w:type="dxa" w:w="4200"/>
            <w:shd w:fill="f5f7fc" w:val="clear"/>
            <w:tcMar>
              <w:top w:type="dxa" w:w="80"/>
              <w:left w:type="dxa" w:w="120"/>
              <w:bottom w:type="dxa" w:w="80"/>
              <w:right w:type="dxa" w:w="120"/>
            </w:tcMar>
          </w:tcPr>
          <w:p>
            <w:r>
              <w:rPr>
                <w:rFonts w:ascii="Calibri" w:cs="Calibri" w:eastAsia="Calibri" w:hAnsi="Calibri"/>
                <w:sz w:val="20"/>
                <w:szCs w:val="20"/>
              </w:rPr>
              <w:t xml:space="preserve">Pensions</w:t>
            </w:r>
          </w:p>
        </w:tc>
        <w:tc>
          <w:tcPr>
            <w:tcW w:type="dxa" w:w="1650"/>
            <w:shd w:fill="f5f7fc" w:val="clear"/>
            <w:tcMar>
              <w:top w:type="dxa" w:w="80"/>
              <w:left w:type="dxa" w:w="120"/>
              <w:bottom w:type="dxa" w:w="80"/>
              <w:right w:type="dxa" w:w="120"/>
            </w:tcMar>
          </w:tcPr>
          <w:p>
            <w:r>
              <w:rPr>
                <w:rFonts w:ascii="Calibri" w:cs="Calibri" w:eastAsia="Calibri" w:hAnsi="Calibri"/>
                <w:sz w:val="20"/>
                <w:szCs w:val="20"/>
              </w:rPr>
              <w:t xml:space="preserve">10.0</w:t>
            </w:r>
          </w:p>
        </w:tc>
        <w:tc>
          <w:tcPr>
            <w:tcW w:type="dxa" w:w="3500"/>
            <w:shd w:fill="f5f7fc" w:val="clear"/>
            <w:tcMar>
              <w:top w:type="dxa" w:w="80"/>
              <w:left w:type="dxa" w:w="120"/>
              <w:bottom w:type="dxa" w:w="80"/>
              <w:right w:type="dxa" w:w="120"/>
            </w:tcMar>
          </w:tcPr>
          <w:p>
            <w:r>
              <w:rPr>
                <w:rFonts w:ascii="Calibri" w:cs="Calibri" w:eastAsia="Calibri" w:hAnsi="Calibri"/>
                <w:sz w:val="20"/>
                <w:szCs w:val="20"/>
              </w:rPr>
              <w:t xml:space="preserve">Retirees → State</w:t>
            </w:r>
          </w:p>
        </w:tc>
      </w:tr>
      <w:tr>
        <w:tc>
          <w:tcPr>
            <w:tcW w:type="dxa" w:w="4200"/>
            <w:shd w:fill="FFFFFF" w:val="clear"/>
            <w:tcMar>
              <w:top w:type="dxa" w:w="80"/>
              <w:left w:type="dxa" w:w="120"/>
              <w:bottom w:type="dxa" w:w="80"/>
              <w:right w:type="dxa" w:w="120"/>
            </w:tcMar>
          </w:tcPr>
          <w:p>
            <w:r>
              <w:rPr>
                <w:rFonts w:ascii="Calibri" w:cs="Calibri" w:eastAsia="Calibri" w:hAnsi="Calibri"/>
                <w:sz w:val="20"/>
                <w:szCs w:val="20"/>
              </w:rPr>
              <w:t xml:space="preserve">Tax Shifting</w:t>
            </w:r>
          </w:p>
        </w:tc>
        <w:tc>
          <w:tcPr>
            <w:tcW w:type="dxa" w:w="1650"/>
            <w:shd w:fill="FFFFFF" w:val="clear"/>
            <w:tcMar>
              <w:top w:type="dxa" w:w="80"/>
              <w:left w:type="dxa" w:w="120"/>
              <w:bottom w:type="dxa" w:w="80"/>
              <w:right w:type="dxa" w:w="120"/>
            </w:tcMar>
          </w:tcPr>
          <w:p>
            <w:r>
              <w:rPr>
                <w:rFonts w:ascii="Calibri" w:cs="Calibri" w:eastAsia="Calibri" w:hAnsi="Calibri"/>
                <w:sz w:val="20"/>
                <w:szCs w:val="20"/>
              </w:rPr>
              <w:t xml:space="preserve">9.0</w:t>
            </w:r>
          </w:p>
        </w:tc>
        <w:tc>
          <w:tcPr>
            <w:tcW w:type="dxa" w:w="3500"/>
            <w:shd w:fill="FFFFFF" w:val="clear"/>
            <w:tcMar>
              <w:top w:type="dxa" w:w="80"/>
              <w:left w:type="dxa" w:w="120"/>
              <w:bottom w:type="dxa" w:w="80"/>
              <w:right w:type="dxa" w:w="120"/>
            </w:tcMar>
          </w:tcPr>
          <w:p>
            <w:r>
              <w:rPr>
                <w:rFonts w:ascii="Calibri" w:cs="Calibri" w:eastAsia="Calibri" w:hAnsi="Calibri"/>
                <w:sz w:val="20"/>
                <w:szCs w:val="20"/>
              </w:rPr>
              <w:t xml:space="preserve">Taxpayers → State</w:t>
            </w:r>
          </w:p>
        </w:tc>
      </w:tr>
    </w:tbl>
    <w:p>
      <w:pPr>
        <w:spacing w:after="140" w:line="300"/>
      </w:pPr>
      <w:r>
        <w:rPr>
          <w:rFonts w:ascii="Calibri" w:cs="Calibri" w:eastAsia="Calibri" w:hAnsi="Calibri"/>
          <w:b w:val="false"/>
          <w:bCs w:val="false"/>
          <w:i w:val="false"/>
          <w:iCs w:val="false"/>
          <w:color w:val="222222"/>
          <w:sz w:val="22"/>
          <w:szCs w:val="22"/>
        </w:rPr>
        <w:t xml:space="preserve"/>
      </w:r>
    </w:p>
    <w:p>
      <w:pPr>
        <w:spacing w:after="140" w:line="300"/>
      </w:pPr>
      <w:r>
        <w:rPr>
          <w:rFonts w:ascii="Calibri" w:cs="Calibri" w:eastAsia="Calibri" w:hAnsi="Calibri"/>
          <w:b w:val="false"/>
          <w:bCs w:val="false"/>
          <w:i w:val="false"/>
          <w:iCs w:val="false"/>
          <w:color w:val="222222"/>
          <w:sz w:val="22"/>
          <w:szCs w:val="22"/>
        </w:rPr>
        <w:t xml:space="preserve">Each analyzed process receives an XAI Index from 0 to 10 based on the detected scenario and the contract's context (amount, process type, agency, vendor recurrence, etc.). The higher the index, the greater the level of discretion detected.</w:t>
      </w:r>
    </w:p>
    <w:p>
      <w:pPr>
        <w:pStyle w:val="Heading3"/>
        <w:spacing w:after="90" w:before="180"/>
      </w:pPr>
      <w:r>
        <w:rPr>
          <w:rFonts w:ascii="Calibri" w:cs="Calibri" w:eastAsia="Calibri" w:hAnsi="Calibri"/>
          <w:b/>
          <w:bCs/>
          <w:color w:val="1a1a2e"/>
          <w:sz w:val="22"/>
          <w:szCs w:val="22"/>
        </w:rPr>
        <w:t xml:space="preserve">Academic reference</w:t>
      </w:r>
    </w:p>
    <w:p>
      <w:pPr>
        <w:spacing w:after="140" w:line="300"/>
      </w:pPr>
      <w:r>
        <w:rPr>
          <w:rFonts w:ascii="Calibri" w:cs="Calibri" w:eastAsia="Calibri" w:hAnsi="Calibri"/>
          <w:sz w:val="22"/>
          <w:szCs w:val="22"/>
        </w:rPr>
        <w:t xml:space="preserve">Monteverde, V. H. (2020). </w:t>
      </w:r>
      <w:r>
        <w:rPr>
          <w:rFonts w:ascii="Calibri" w:cs="Calibri" w:eastAsia="Calibri" w:hAnsi="Calibri"/>
          <w:i/>
          <w:iCs/>
          <w:sz w:val="22"/>
          <w:szCs w:val="22"/>
        </w:rPr>
        <w:t xml:space="preserve">Great corruption – theory of corrupt phenomena</w:t>
      </w:r>
      <w:r>
        <w:rPr>
          <w:rFonts w:ascii="Calibri" w:cs="Calibri" w:eastAsia="Calibri" w:hAnsi="Calibri"/>
          <w:sz w:val="22"/>
          <w:szCs w:val="22"/>
        </w:rPr>
        <w:t xml:space="preserve">. Journal of Financial Crime, Vol. 28 No. 2, pp. 580-595. </w:t>
      </w:r>
    </w:p>
    <w:p>
      <w:hyperlink w:history="1" r:id="rIds_izks14rt8muhdynbmco">
        <w:r>
          <w:rPr>
            <w:rFonts w:ascii="Calibri" w:cs="Calibri" w:eastAsia="Calibri" w:hAnsi="Calibri"/>
            <w:color w:val="1155cc"/>
            <w:sz w:val="22"/>
            <w:szCs w:val="22"/>
            <w:u w:val="single"/>
          </w:rPr>
          <w:t xml:space="preserve">https://doi.org/10.1108/JFC-04-2020-0062</w:t>
        </w:r>
      </w:hyperlink>
    </w:p>
    <w:p>
      <w:r>
        <w:br w:type="page"/>
      </w:r>
    </w:p>
    <w:p>
      <w:pPr>
        <w:pStyle w:val="Heading1"/>
        <w:pBdr>
          <w:bottom w:val="single" w:color="2b4fce" w:sz="6" w:space="4"/>
        </w:pBdr>
        <w:spacing w:after="160" w:before="400"/>
      </w:pPr>
      <w:r>
        <w:rPr>
          <w:rFonts w:ascii="Calibri" w:cs="Calibri" w:eastAsia="Calibri" w:hAnsi="Calibri"/>
          <w:b/>
          <w:bCs/>
          <w:color w:val="2b4fce"/>
          <w:sz w:val="32"/>
          <w:szCs w:val="32"/>
        </w:rPr>
        <w:t xml:space="preserve">3. Navigation structure</w:t>
      </w:r>
    </w:p>
    <w:p>
      <w:pPr>
        <w:spacing w:after="140" w:line="300"/>
      </w:pPr>
      <w:r>
        <w:rPr>
          <w:rFonts w:ascii="Calibri" w:cs="Calibri" w:eastAsia="Calibri" w:hAnsi="Calibri"/>
          <w:b w:val="false"/>
          <w:bCs w:val="false"/>
          <w:i w:val="false"/>
          <w:iCs w:val="false"/>
          <w:color w:val="222222"/>
          <w:sz w:val="22"/>
          <w:szCs w:val="22"/>
        </w:rPr>
        <w:t xml:space="preserve">The site has a fixed top navigation bar with five main sections, accessible from any screen:</w:t>
      </w:r>
    </w:p>
    <w:p>
      <w:pPr>
        <w:pStyle w:val="ListParagraph"/>
        <w:numPr>
          <w:ilvl w:val="0"/>
          <w:numId w:val="2"/>
        </w:numPr>
        <w:spacing w:after="80" w:line="280"/>
      </w:pPr>
      <w:r>
        <w:rPr>
          <w:rFonts w:ascii="Calibri" w:cs="Calibri" w:eastAsia="Calibri" w:hAnsi="Calibri"/>
          <w:b w:val="false"/>
          <w:bCs w:val="false"/>
          <w:sz w:val="22"/>
          <w:szCs w:val="22"/>
        </w:rPr>
        <w:t xml:space="preserve">Dashboard — executive summary with the metrics and charts of the latest analysis.</w:t>
      </w:r>
    </w:p>
    <w:p>
      <w:pPr>
        <w:pStyle w:val="ListParagraph"/>
        <w:numPr>
          <w:ilvl w:val="0"/>
          <w:numId w:val="2"/>
        </w:numPr>
        <w:spacing w:after="80" w:line="280"/>
      </w:pPr>
      <w:r>
        <w:rPr>
          <w:rFonts w:ascii="Calibri" w:cs="Calibri" w:eastAsia="Calibri" w:hAnsi="Calibri"/>
          <w:b w:val="false"/>
          <w:bCs w:val="false"/>
          <w:sz w:val="22"/>
          <w:szCs w:val="22"/>
        </w:rPr>
        <w:t xml:space="preserve">Live Analysis — the operational screen to run the day's scraping and analysis.</w:t>
      </w:r>
    </w:p>
    <w:p>
      <w:pPr>
        <w:pStyle w:val="ListParagraph"/>
        <w:numPr>
          <w:ilvl w:val="0"/>
          <w:numId w:val="2"/>
        </w:numPr>
        <w:spacing w:after="80" w:line="280"/>
      </w:pPr>
      <w:r>
        <w:rPr>
          <w:rFonts w:ascii="Calibri" w:cs="Calibri" w:eastAsia="Calibri" w:hAnsi="Calibri"/>
          <w:b w:val="false"/>
          <w:bCs w:val="false"/>
          <w:sz w:val="22"/>
          <w:szCs w:val="22"/>
        </w:rPr>
        <w:t xml:space="preserve">Tenders — cross-referenced BORA → Comprar.gob.ar → TGN flow, with full traceability per contract.</w:t>
      </w:r>
    </w:p>
    <w:p>
      <w:pPr>
        <w:pStyle w:val="ListParagraph"/>
        <w:numPr>
          <w:ilvl w:val="0"/>
          <w:numId w:val="2"/>
        </w:numPr>
        <w:spacing w:after="80" w:line="280"/>
      </w:pPr>
      <w:r>
        <w:rPr>
          <w:rFonts w:ascii="Calibri" w:cs="Calibri" w:eastAsia="Calibri" w:hAnsi="Calibri"/>
          <w:b w:val="false"/>
          <w:bCs w:val="false"/>
          <w:sz w:val="22"/>
          <w:szCs w:val="22"/>
        </w:rPr>
        <w:t xml:space="preserve">Documentation — theoretical framework, usage guide and API reference.</w:t>
      </w:r>
    </w:p>
    <w:p>
      <w:pPr>
        <w:pStyle w:val="ListParagraph"/>
        <w:numPr>
          <w:ilvl w:val="0"/>
          <w:numId w:val="2"/>
        </w:numPr>
        <w:spacing w:after="80" w:line="280"/>
      </w:pPr>
      <w:r>
        <w:rPr>
          <w:rFonts w:ascii="Calibri" w:cs="Calibri" w:eastAsia="Calibri" w:hAnsi="Calibri"/>
          <w:b w:val="false"/>
          <w:bCs w:val="false"/>
          <w:sz w:val="22"/>
          <w:szCs w:val="22"/>
        </w:rPr>
        <w:t xml:space="preserve">Admin (key-protected) — usage and donation statistics.</w:t>
      </w:r>
    </w:p>
    <w:p>
      <w:pPr>
        <w:pStyle w:val="Heading1"/>
        <w:pBdr>
          <w:bottom w:val="single" w:color="2b4fce" w:sz="6" w:space="4"/>
        </w:pBdr>
        <w:spacing w:after="160" w:before="400"/>
      </w:pPr>
      <w:r>
        <w:rPr>
          <w:rFonts w:ascii="Calibri" w:cs="Calibri" w:eastAsia="Calibri" w:hAnsi="Calibri"/>
          <w:b/>
          <w:bCs/>
          <w:color w:val="2b4fce"/>
          <w:sz w:val="32"/>
          <w:szCs w:val="32"/>
        </w:rPr>
        <w:t xml:space="preserve">4. Dashboard</w:t>
      </w:r>
    </w:p>
    <w:p>
      <w:pPr>
        <w:spacing w:after="140" w:line="300"/>
      </w:pPr>
      <w:r>
        <w:rPr>
          <w:rFonts w:ascii="Calibri" w:cs="Calibri" w:eastAsia="Calibri" w:hAnsi="Calibri"/>
          <w:b w:val="false"/>
          <w:bCs w:val="false"/>
          <w:i w:val="false"/>
          <w:iCs w:val="false"/>
          <w:color w:val="222222"/>
          <w:sz w:val="22"/>
          <w:szCs w:val="22"/>
        </w:rPr>
        <w:t xml:space="preserve">This is the system's main screen. It shows an up-to-date executive summary with the results of the latest analysis run.</w:t>
      </w:r>
    </w:p>
    <w:p>
      <w:pPr>
        <w:pStyle w:val="Heading2"/>
        <w:spacing w:after="120" w:before="260"/>
      </w:pPr>
      <w:r>
        <w:rPr>
          <w:rFonts w:ascii="Calibri" w:cs="Calibri" w:eastAsia="Calibri" w:hAnsi="Calibri"/>
          <w:b/>
          <w:bCs/>
          <w:color w:val="1a1a2e"/>
          <w:sz w:val="26"/>
          <w:szCs w:val="26"/>
        </w:rPr>
        <w:t xml:space="preserve">4.1 Key metrics</w:t>
      </w:r>
    </w:p>
    <w:p>
      <w:pPr>
        <w:spacing w:after="140" w:line="300"/>
      </w:pPr>
      <w:r>
        <w:rPr>
          <w:rFonts w:ascii="Calibri" w:cs="Calibri" w:eastAsia="Calibri" w:hAnsi="Calibri"/>
          <w:b w:val="false"/>
          <w:bCs w:val="false"/>
          <w:i w:val="false"/>
          <w:iCs w:val="false"/>
          <w:color w:val="222222"/>
          <w:sz w:val="22"/>
          <w:szCs w:val="22"/>
        </w:rPr>
        <w:t xml:space="preserve">Four top cards summarize the system's status: total processes analyzed, high-risk alerts, most frequent scenario, and the period's average XAI index.</w:t>
      </w:r>
    </w:p>
    <w:p>
      <w:pPr>
        <w:pStyle w:val="Heading2"/>
        <w:spacing w:after="120" w:before="260"/>
      </w:pPr>
      <w:r>
        <w:rPr>
          <w:rFonts w:ascii="Calibri" w:cs="Calibri" w:eastAsia="Calibri" w:hAnsi="Calibri"/>
          <w:b/>
          <w:bCs/>
          <w:color w:val="1a1a2e"/>
          <w:sz w:val="26"/>
          <w:szCs w:val="26"/>
        </w:rPr>
        <w:t xml:space="preserve">4.2 Latest report</w:t>
      </w:r>
    </w:p>
    <w:p>
      <w:pPr>
        <w:spacing w:after="140" w:line="300"/>
      </w:pPr>
      <w:r>
        <w:rPr>
          <w:rFonts w:ascii="Calibri" w:cs="Calibri" w:eastAsia="Calibri" w:hAnsi="Calibri"/>
          <w:b w:val="false"/>
          <w:bCs w:val="false"/>
          <w:i w:val="false"/>
          <w:iCs w:val="false"/>
          <w:color w:val="222222"/>
          <w:sz w:val="22"/>
          <w:szCs w:val="22"/>
        </w:rPr>
        <w:t xml:space="preserve">Below the metrics, the file name of the latest generated report is shown — e.g., 2026-03 / reporte_2026-03-15.xlsx — marking the date of the most recent scraping run available. It can be downloaded by clicking the link.</w:t>
      </w:r>
    </w:p>
    <w:p>
      <w:pPr>
        <w:pStyle w:val="Heading2"/>
        <w:spacing w:after="120" w:before="260"/>
      </w:pPr>
      <w:r>
        <w:rPr>
          <w:rFonts w:ascii="Calibri" w:cs="Calibri" w:eastAsia="Calibri" w:hAnsi="Calibri"/>
          <w:b/>
          <w:bCs/>
          <w:color w:val="1a1a2e"/>
          <w:sz w:val="26"/>
          <w:szCs w:val="26"/>
        </w:rPr>
        <w:t xml:space="preserve">4.3 Charts</w:t>
      </w:r>
    </w:p>
    <w:p>
      <w:pPr>
        <w:pStyle w:val="ListParagraph"/>
        <w:numPr>
          <w:ilvl w:val="0"/>
          <w:numId w:val="2"/>
        </w:numPr>
        <w:spacing w:after="80" w:line="280"/>
      </w:pPr>
      <w:r>
        <w:rPr>
          <w:rFonts w:ascii="Calibri" w:cs="Calibri" w:eastAsia="Calibri" w:hAnsi="Calibri"/>
          <w:b w:val="false"/>
          <w:bCs w:val="false"/>
          <w:sz w:val="22"/>
          <w:szCs w:val="22"/>
        </w:rPr>
        <w:t xml:space="preserve">Distribution by Phenomenon Type — bar chart with the frequency of each of the 7 scenarios in the analyzed period.</w:t>
      </w:r>
    </w:p>
    <w:p>
      <w:pPr>
        <w:pStyle w:val="ListParagraph"/>
        <w:numPr>
          <w:ilvl w:val="0"/>
          <w:numId w:val="2"/>
        </w:numPr>
        <w:spacing w:after="80" w:line="280"/>
      </w:pPr>
      <w:r>
        <w:rPr>
          <w:rFonts w:ascii="Calibri" w:cs="Calibri" w:eastAsia="Calibri" w:hAnsi="Calibri"/>
          <w:b w:val="false"/>
          <w:bCs w:val="false"/>
          <w:sz w:val="22"/>
          <w:szCs w:val="22"/>
        </w:rPr>
        <w:t xml:space="preserve">Risk Level — proportional distribution of processes by risk category.</w:t>
      </w:r>
    </w:p>
    <w:p>
      <w:pPr>
        <w:pStyle w:val="ListParagraph"/>
        <w:numPr>
          <w:ilvl w:val="0"/>
          <w:numId w:val="2"/>
        </w:numPr>
        <w:spacing w:after="80" w:line="280"/>
      </w:pPr>
      <w:r>
        <w:rPr>
          <w:rFonts w:ascii="Calibri" w:cs="Calibri" w:eastAsia="Calibri" w:hAnsi="Calibri"/>
          <w:b w:val="false"/>
          <w:bCs w:val="false"/>
          <w:sz w:val="22"/>
          <w:szCs w:val="22"/>
        </w:rPr>
        <w:t xml:space="preserve">Algorithmic Analysis Detail — expandable table with the XAI index, scenario, agency, vendor and amount of each process.</w:t>
      </w:r>
    </w:p>
    <w:p>
      <w:pPr>
        <w:pStyle w:val="Heading1"/>
        <w:pBdr>
          <w:bottom w:val="single" w:color="2b4fce" w:sz="6" w:space="4"/>
        </w:pBdr>
        <w:spacing w:after="160" w:before="400"/>
      </w:pPr>
      <w:r>
        <w:rPr>
          <w:rFonts w:ascii="Calibri" w:cs="Calibri" w:eastAsia="Calibri" w:hAnsi="Calibri"/>
          <w:b/>
          <w:bCs/>
          <w:color w:val="2b4fce"/>
          <w:sz w:val="32"/>
          <w:szCs w:val="32"/>
        </w:rPr>
        <w:t xml:space="preserve">5. Live Analysis</w:t>
      </w:r>
    </w:p>
    <w:p>
      <w:pPr>
        <w:spacing w:after="140" w:line="300"/>
      </w:pPr>
      <w:r>
        <w:rPr>
          <w:rFonts w:ascii="Calibri" w:cs="Calibri" w:eastAsia="Calibri" w:hAnsi="Calibri"/>
          <w:b w:val="false"/>
          <w:bCs w:val="false"/>
          <w:i w:val="false"/>
          <w:iCs w:val="false"/>
          <w:color w:val="222222"/>
          <w:sz w:val="22"/>
          <w:szCs w:val="22"/>
        </w:rPr>
        <w:t xml:space="preserve">This is the operational section: it runs the scraper and applies the XAI Matrix to the selected day's data, connecting to Comprar.gob.ar in real time.</w:t>
      </w:r>
    </w:p>
    <w:p>
      <w:pPr>
        <w:pStyle w:val="Heading2"/>
        <w:spacing w:after="120" w:before="260"/>
      </w:pPr>
      <w:r>
        <w:rPr>
          <w:rFonts w:ascii="Calibri" w:cs="Calibri" w:eastAsia="Calibri" w:hAnsi="Calibri"/>
          <w:b/>
          <w:bCs/>
          <w:color w:val="1a1a2e"/>
          <w:sz w:val="26"/>
          <w:szCs w:val="26"/>
        </w:rPr>
        <w:t xml:space="preserve">5.1 Day selector</w:t>
      </w:r>
    </w:p>
    <w:p>
      <w:pPr>
        <w:spacing w:after="140" w:line="300"/>
      </w:pPr>
      <w:r>
        <w:rPr>
          <w:rFonts w:ascii="Calibri" w:cs="Calibri" w:eastAsia="Calibri" w:hAnsi="Calibri"/>
          <w:b w:val="false"/>
          <w:bCs w:val="false"/>
          <w:i w:val="false"/>
          <w:iCs w:val="false"/>
          <w:color w:val="222222"/>
          <w:sz w:val="22"/>
          <w:szCs w:val="22"/>
        </w:rPr>
        <w:t xml:space="preserve">A calendar shows a button for each available business day. A day that already has a processed report is marked with a checkmark (✓) and highlighted.</w:t>
      </w:r>
    </w:p>
    <w:p>
      <w:pPr>
        <w:pStyle w:val="Heading2"/>
        <w:spacing w:after="120" w:before="260"/>
      </w:pPr>
      <w:r>
        <w:rPr>
          <w:rFonts w:ascii="Calibri" w:cs="Calibri" w:eastAsia="Calibri" w:hAnsi="Calibri"/>
          <w:b/>
          <w:bCs/>
          <w:color w:val="1a1a2e"/>
          <w:sz w:val="26"/>
          <w:szCs w:val="26"/>
        </w:rPr>
        <w:t xml:space="preserve">5.2 Full Analysis Cycle</w:t>
      </w:r>
    </w:p>
    <w:p>
      <w:pPr>
        <w:spacing w:after="140" w:line="300"/>
      </w:pPr>
      <w:r>
        <w:rPr>
          <w:rFonts w:ascii="Calibri" w:cs="Calibri" w:eastAsia="Calibri" w:hAnsi="Calibri"/>
          <w:b w:val="false"/>
          <w:bCs w:val="false"/>
          <w:i w:val="false"/>
          <w:iCs w:val="false"/>
          <w:color w:val="222222"/>
          <w:sz w:val="22"/>
          <w:szCs w:val="22"/>
        </w:rPr>
        <w:t xml:space="preserve">Clicking the main button runs the following sequence:</w:t>
      </w:r>
    </w:p>
    <w:p>
      <w:pPr>
        <w:pStyle w:val="ListParagraph"/>
        <w:numPr>
          <w:ilvl w:val="0"/>
          <w:numId w:val="3"/>
        </w:numPr>
        <w:spacing w:after="80" w:line="280"/>
      </w:pPr>
      <w:r>
        <w:rPr>
          <w:rFonts w:ascii="Calibri" w:cs="Calibri" w:eastAsia="Calibri" w:hAnsi="Calibri"/>
          <w:sz w:val="22"/>
          <w:szCs w:val="22"/>
        </w:rPr>
        <w:t xml:space="preserve">Connect to Comprar.gob.ar — accesses the public procurement portal.</w:t>
      </w:r>
    </w:p>
    <w:p>
      <w:pPr>
        <w:pStyle w:val="ListParagraph"/>
        <w:numPr>
          <w:ilvl w:val="0"/>
          <w:numId w:val="3"/>
        </w:numPr>
        <w:spacing w:after="80" w:line="280"/>
      </w:pPr>
      <w:r>
        <w:rPr>
          <w:rFonts w:ascii="Calibri" w:cs="Calibri" w:eastAsia="Calibri" w:hAnsi="Calibri"/>
          <w:sz w:val="22"/>
          <w:szCs w:val="22"/>
        </w:rPr>
        <w:t xml:space="preserve">Data extraction — retrieves the selected day's processes.</w:t>
      </w:r>
    </w:p>
    <w:p>
      <w:pPr>
        <w:pStyle w:val="ListParagraph"/>
        <w:numPr>
          <w:ilvl w:val="0"/>
          <w:numId w:val="3"/>
        </w:numPr>
        <w:spacing w:after="80" w:line="280"/>
      </w:pPr>
      <w:r>
        <w:rPr>
          <w:rFonts w:ascii="Calibri" w:cs="Calibri" w:eastAsia="Calibri" w:hAnsi="Calibri"/>
          <w:sz w:val="22"/>
          <w:szCs w:val="22"/>
        </w:rPr>
        <w:t xml:space="preserve">Cross-reference with BORA — verifies Official Gazette publications.</w:t>
      </w:r>
    </w:p>
    <w:p>
      <w:pPr>
        <w:pStyle w:val="ListParagraph"/>
        <w:numPr>
          <w:ilvl w:val="0"/>
          <w:numId w:val="3"/>
        </w:numPr>
        <w:spacing w:after="80" w:line="280"/>
      </w:pPr>
      <w:r>
        <w:rPr>
          <w:rFonts w:ascii="Calibri" w:cs="Calibri" w:eastAsia="Calibri" w:hAnsi="Calibri"/>
          <w:sz w:val="22"/>
          <w:szCs w:val="22"/>
        </w:rPr>
        <w:t xml:space="preserve">TGN query — verifies whether vendors were actually paid by the Treasury.</w:t>
      </w:r>
    </w:p>
    <w:p>
      <w:pPr>
        <w:pStyle w:val="ListParagraph"/>
        <w:numPr>
          <w:ilvl w:val="0"/>
          <w:numId w:val="3"/>
        </w:numPr>
        <w:spacing w:after="80" w:line="280"/>
      </w:pPr>
      <w:r>
        <w:rPr>
          <w:rFonts w:ascii="Calibri" w:cs="Calibri" w:eastAsia="Calibri" w:hAnsi="Calibri"/>
          <w:sz w:val="22"/>
          <w:szCs w:val="22"/>
        </w:rPr>
        <w:t xml:space="preserve">Apply the XAI Matrix — computes the discretion index for each process.</w:t>
      </w:r>
    </w:p>
    <w:p>
      <w:pPr>
        <w:pStyle w:val="ListParagraph"/>
        <w:numPr>
          <w:ilvl w:val="0"/>
          <w:numId w:val="3"/>
        </w:numPr>
        <w:spacing w:after="80" w:line="280"/>
      </w:pPr>
      <w:r>
        <w:rPr>
          <w:rFonts w:ascii="Calibri" w:cs="Calibri" w:eastAsia="Calibri" w:hAnsi="Calibri"/>
          <w:sz w:val="22"/>
          <w:szCs w:val="22"/>
        </w:rPr>
        <w:t xml:space="preserve">Report generation — saves the Excel file with all results.</w:t>
      </w:r>
    </w:p>
    <w:p>
      <w:pPr>
        <w:pStyle w:val="ListParagraph"/>
        <w:numPr>
          <w:ilvl w:val="0"/>
          <w:numId w:val="3"/>
        </w:numPr>
        <w:spacing w:after="80" w:line="280"/>
      </w:pPr>
      <w:r>
        <w:rPr>
          <w:rFonts w:ascii="Calibri" w:cs="Calibri" w:eastAsia="Calibri" w:hAnsi="Calibri"/>
          <w:sz w:val="22"/>
          <w:szCs w:val="22"/>
        </w:rPr>
        <w:t xml:space="preserve">Redirect — shows the results in Dashboard and Tenders.</w:t>
      </w:r>
    </w:p>
    <w:p>
      <w:r>
        <w:br w:type="page"/>
      </w:r>
    </w:p>
    <w:p>
      <w:pPr>
        <w:pStyle w:val="Heading1"/>
        <w:pBdr>
          <w:bottom w:val="single" w:color="2b4fce" w:sz="6" w:space="4"/>
        </w:pBdr>
        <w:spacing w:after="160" w:before="400"/>
      </w:pPr>
      <w:r>
        <w:rPr>
          <w:rFonts w:ascii="Calibri" w:cs="Calibri" w:eastAsia="Calibri" w:hAnsi="Calibri"/>
          <w:b/>
          <w:bCs/>
          <w:color w:val="2b4fce"/>
          <w:sz w:val="32"/>
          <w:szCs w:val="32"/>
        </w:rPr>
        <w:t xml:space="preserve">6. Tenders — BORA → Comprar → TGN Cross-Referenced Flow</w:t>
      </w:r>
    </w:p>
    <w:p>
      <w:pPr>
        <w:spacing w:after="140" w:line="300"/>
      </w:pPr>
      <w:r>
        <w:rPr>
          <w:rFonts w:ascii="Calibri" w:cs="Calibri" w:eastAsia="Calibri" w:hAnsi="Calibri"/>
          <w:b w:val="false"/>
          <w:bCs w:val="false"/>
          <w:i w:val="false"/>
          <w:iCs w:val="false"/>
          <w:color w:val="222222"/>
          <w:sz w:val="22"/>
          <w:szCs w:val="22"/>
        </w:rPr>
        <w:t xml:space="preserve">This is the most informative screen for daily monitoring: it combines all three sources into one unified view, showing each contract's status from publication to payment.</w:t>
      </w:r>
    </w:p>
    <w:p>
      <w:pPr>
        <w:pStyle w:val="Heading2"/>
        <w:spacing w:after="120" w:before="260"/>
      </w:pPr>
      <w:r>
        <w:rPr>
          <w:rFonts w:ascii="Calibri" w:cs="Calibri" w:eastAsia="Calibri" w:hAnsi="Calibri"/>
          <w:b/>
          <w:bCs/>
          <w:color w:val="1a1a2e"/>
          <w:sz w:val="26"/>
          <w:szCs w:val="26"/>
        </w:rPr>
        <w:t xml:space="preserve">6.1 Status bar</w:t>
      </w:r>
    </w:p>
    <w:p>
      <w:pPr>
        <w:spacing w:after="140" w:line="300"/>
      </w:pPr>
      <w:r>
        <w:rPr>
          <w:rFonts w:ascii="Calibri" w:cs="Calibri" w:eastAsia="Calibri" w:hAnsi="Calibri"/>
          <w:b w:val="false"/>
          <w:bCs w:val="false"/>
          <w:i w:val="false"/>
          <w:iCs w:val="false"/>
          <w:color w:val="222222"/>
          <w:sz w:val="22"/>
          <w:szCs w:val="22"/>
        </w:rPr>
        <w:t xml:space="preserve">Shows the date of the latest processing run and the active sources — e.g.: "Data as of: 03/15/2026 · Sources: BORA Section 3 · Comprar.gob.ar · TGN". The "Refresh live data" button forces a new scraping run without leaving the screen.</w:t>
      </w:r>
    </w:p>
    <w:p>
      <w:pPr>
        <w:pStyle w:val="Heading2"/>
        <w:spacing w:after="120" w:before="260"/>
      </w:pPr>
      <w:r>
        <w:rPr>
          <w:rFonts w:ascii="Calibri" w:cs="Calibri" w:eastAsia="Calibri" w:hAnsi="Calibri"/>
          <w:b/>
          <w:bCs/>
          <w:color w:val="1a1a2e"/>
          <w:sz w:val="26"/>
          <w:szCs w:val="26"/>
        </w:rPr>
        <w:t xml:space="preserve">6.2 Flow metrics</w:t>
      </w:r>
    </w:p>
    <w:p>
      <w:pPr>
        <w:pStyle w:val="ListParagraph"/>
        <w:numPr>
          <w:ilvl w:val="0"/>
          <w:numId w:val="2"/>
        </w:numPr>
        <w:spacing w:after="80" w:line="280"/>
      </w:pPr>
      <w:r>
        <w:rPr>
          <w:rFonts w:ascii="Calibri" w:cs="Calibri" w:eastAsia="Calibri" w:hAnsi="Calibri"/>
          <w:b w:val="false"/>
          <w:bCs w:val="false"/>
          <w:sz w:val="22"/>
          <w:szCs w:val="22"/>
        </w:rPr>
        <w:t xml:space="preserve">Total BORA Publications — every notice from the day's Section 3, including tenders, awards and other acts.</w:t>
      </w:r>
    </w:p>
    <w:p>
      <w:pPr>
        <w:pStyle w:val="ListParagraph"/>
        <w:numPr>
          <w:ilvl w:val="0"/>
          <w:numId w:val="2"/>
        </w:numPr>
        <w:spacing w:after="80" w:line="280"/>
      </w:pPr>
      <w:r>
        <w:rPr>
          <w:rFonts w:ascii="Calibri" w:cs="Calibri" w:eastAsia="Calibri" w:hAnsi="Calibri"/>
          <w:b w:val="false"/>
          <w:bCs w:val="false"/>
          <w:sz w:val="22"/>
          <w:szCs w:val="22"/>
        </w:rPr>
        <w:t xml:space="preserve">With CUIT Extracted — publications where the algorithm was able to identify the awarded vendor's CUIT (Argentine tax ID).</w:t>
      </w:r>
    </w:p>
    <w:p>
      <w:pPr>
        <w:pStyle w:val="ListParagraph"/>
        <w:numPr>
          <w:ilvl w:val="0"/>
          <w:numId w:val="2"/>
        </w:numPr>
        <w:spacing w:after="80" w:line="280"/>
      </w:pPr>
      <w:r>
        <w:rPr>
          <w:rFonts w:ascii="Calibri" w:cs="Calibri" w:eastAsia="Calibri" w:hAnsi="Calibri"/>
          <w:b w:val="false"/>
          <w:bCs w:val="false"/>
          <w:sz w:val="22"/>
          <w:szCs w:val="22"/>
        </w:rPr>
        <w:t xml:space="preserve">Without CUIT (pending) — publications where the CUIT could not be extracted and require manual review.</w:t>
      </w:r>
    </w:p>
    <w:p>
      <w:pPr>
        <w:pStyle w:val="ListParagraph"/>
        <w:numPr>
          <w:ilvl w:val="0"/>
          <w:numId w:val="2"/>
        </w:numPr>
        <w:spacing w:after="80" w:line="280"/>
      </w:pPr>
      <w:r>
        <w:rPr>
          <w:rFonts w:ascii="Calibri" w:cs="Calibri" w:eastAsia="Calibri" w:hAnsi="Calibri"/>
          <w:b w:val="false"/>
          <w:bCs w:val="false"/>
          <w:sz w:val="22"/>
          <w:szCs w:val="22"/>
        </w:rPr>
        <w:t xml:space="preserve">Complete BORA→TGN Flow — contracts with full traceability: they appear in BORA, in Comprar.gob.ar, and have confirmed payment in the TGN.</w:t>
      </w:r>
    </w:p>
    <w:p>
      <w:pPr>
        <w:pStyle w:val="Heading2"/>
        <w:spacing w:after="120" w:before="260"/>
      </w:pPr>
      <w:r>
        <w:rPr>
          <w:rFonts w:ascii="Calibri" w:cs="Calibri" w:eastAsia="Calibri" w:hAnsi="Calibri"/>
          <w:b/>
          <w:bCs/>
          <w:color w:val="1a1a2e"/>
          <w:sz w:val="26"/>
          <w:szCs w:val="26"/>
        </w:rPr>
        <w:t xml:space="preserve">6.3 Awards table</w:t>
      </w:r>
    </w:p>
    <w:p>
      <w:pPr>
        <w:spacing w:after="140" w:line="300"/>
      </w:pPr>
      <w:r>
        <w:rPr>
          <w:rFonts w:ascii="Calibri" w:cs="Calibri" w:eastAsia="Calibri" w:hAnsi="Calibri"/>
          <w:b w:val="false"/>
          <w:bCs w:val="false"/>
          <w:i w:val="false"/>
          <w:iCs w:val="false"/>
          <w:color w:val="222222"/>
          <w:sz w:val="22"/>
          <w:szCs w:val="22"/>
        </w:rPr>
        <w:t xml:space="preserve">Each row shows the notice, the contracting agency, the process type, the awarded vendor, its CUIT, the amount and a link to the original source. Next to the CUIT, two additional signals appear, detailed in Section 7:</w:t>
      </w:r>
    </w:p>
    <w:p>
      <w:pPr>
        <w:pStyle w:val="ListParagraph"/>
        <w:numPr>
          <w:ilvl w:val="0"/>
          <w:numId w:val="2"/>
        </w:numPr>
        <w:spacing w:after="80" w:line="280"/>
      </w:pPr>
      <w:r>
        <w:rPr>
          <w:rFonts w:ascii="Calibri" w:cs="Calibri" w:eastAsia="Calibri" w:hAnsi="Calibri"/>
          <w:b w:val="false"/>
          <w:bCs w:val="false"/>
          <w:sz w:val="22"/>
          <w:szCs w:val="22"/>
        </w:rPr>
        <w:t xml:space="preserve">✓ / ⚠️ — CUIT format validation (AFIP check digit).</w:t>
      </w:r>
    </w:p>
    <w:p>
      <w:pPr>
        <w:pStyle w:val="ListParagraph"/>
        <w:numPr>
          <w:ilvl w:val="0"/>
          <w:numId w:val="2"/>
        </w:numPr>
        <w:spacing w:after="80" w:line="280"/>
      </w:pPr>
      <w:r>
        <w:rPr>
          <w:rFonts w:ascii="Calibri" w:cs="Calibri" w:eastAsia="Calibri" w:hAnsi="Calibri"/>
          <w:b w:val="false"/>
          <w:bCs w:val="false"/>
          <w:sz w:val="22"/>
          <w:szCs w:val="22"/>
        </w:rPr>
        <w:t xml:space="preserve">🌍 INTERNATIONAL ALERT — if the vendor's CUIT appears in the international sanctions database cross-checked via MEACI.</w:t>
      </w:r>
    </w:p>
    <w:p>
      <w:r>
        <w:br w:type="page"/>
      </w:r>
    </w:p>
    <w:p>
      <w:pPr>
        <w:pStyle w:val="Heading1"/>
        <w:pBdr>
          <w:bottom w:val="single" w:color="2b4fce" w:sz="6" w:space="4"/>
        </w:pBdr>
        <w:spacing w:after="160" w:before="400"/>
      </w:pPr>
      <w:r>
        <w:rPr>
          <w:rFonts w:ascii="Calibri" w:cs="Calibri" w:eastAsia="Calibri" w:hAnsi="Calibri"/>
          <w:b/>
          <w:bCs/>
          <w:color w:val="2b4fce"/>
          <w:sz w:val="32"/>
          <w:szCs w:val="32"/>
        </w:rPr>
        <w:t xml:space="preserve">7. CUIT format validation (new feature)</w:t>
      </w:r>
    </w:p>
    <w:p>
      <w:pPr>
        <w:spacing w:after="140" w:line="300"/>
      </w:pPr>
      <w:r>
        <w:rPr>
          <w:rFonts w:ascii="Calibri" w:cs="Calibri" w:eastAsia="Calibri" w:hAnsi="Calibri"/>
          <w:b w:val="false"/>
          <w:bCs w:val="false"/>
          <w:i w:val="false"/>
          <w:iCs w:val="false"/>
          <w:color w:val="222222"/>
          <w:sz w:val="22"/>
          <w:szCs w:val="22"/>
        </w:rPr>
        <w:t xml:space="preserve">Because every vendor CUIT is automatically extracted from the free-form text of an Official Gazette notice (sometimes published as a scanned PDF), extraction errors and typos are common. The system now validates the format of every CUIT using AFIP's real modulus-11 check-digit algorithm.</w:t>
      </w:r>
    </w:p>
    <w:p>
      <w:pPr>
        <w:pStyle w:val="Heading2"/>
        <w:spacing w:after="120" w:before="260"/>
      </w:pPr>
      <w:r>
        <w:rPr>
          <w:rFonts w:ascii="Calibri" w:cs="Calibri" w:eastAsia="Calibri" w:hAnsi="Calibri"/>
          <w:b/>
          <w:bCs/>
          <w:color w:val="1a1a2e"/>
          <w:sz w:val="26"/>
          <w:szCs w:val="26"/>
        </w:rPr>
        <w:t xml:space="preserve">7.1 What it does and does not confirm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8f3ff" w:val="clear"/>
            <w:tcMar>
              <w:top w:type="dxa" w:w="140"/>
              <w:left w:type="dxa" w:w="180"/>
              <w:bottom w:type="dxa" w:w="140"/>
              <w:right w:type="dxa" w:w="180"/>
            </w:tcMar>
          </w:tcPr>
          <w:p>
            <w:pPr>
              <w:spacing w:after="80" w:line="280"/>
            </w:pPr>
            <w:r>
              <w:rPr>
                <w:rFonts w:ascii="Calibri" w:cs="Calibri" w:eastAsia="Calibri" w:hAnsi="Calibri"/>
                <w:color w:val="3a3200"/>
                <w:sz w:val="21"/>
                <w:szCs w:val="21"/>
              </w:rPr>
              <w:t xml:space="preserve">✓  It DOES confirm that the number has 11 digits and that the check digit is mathematically correct — i.e., that the CUIT is well-formed and was likely extracted correctly from the notice.</w:t>
            </w:r>
          </w:p>
          <w:p>
            <w:pPr>
              <w:spacing w:after="0" w:line="280"/>
            </w:pPr>
            <w:r>
              <w:rPr>
                <w:rFonts w:ascii="Calibri" w:cs="Calibri" w:eastAsia="Calibri" w:hAnsi="Calibri"/>
                <w:color w:val="3a3200"/>
                <w:sz w:val="21"/>
                <w:szCs w:val="21"/>
              </w:rPr>
              <w:t xml:space="preserve">⚠️  It does NOT query any official registry: it does not confirm that the CUIT is actually registered with AFIP, nor does it return the taxpayer's legal name, business activity or real status. That would require access to AFIP's official webservice (Padrón A13) via digital certificate, which this system does not currently integrate.</w:t>
            </w:r>
          </w:p>
        </w:tc>
      </w:tr>
    </w:tbl>
    <w:p>
      <w:pPr>
        <w:pStyle w:val="Heading2"/>
        <w:spacing w:after="120" w:before="260"/>
      </w:pPr>
      <w:r>
        <w:rPr>
          <w:rFonts w:ascii="Calibri" w:cs="Calibri" w:eastAsia="Calibri" w:hAnsi="Calibri"/>
          <w:b/>
          <w:bCs/>
          <w:color w:val="1a1a2e"/>
          <w:sz w:val="26"/>
          <w:szCs w:val="26"/>
        </w:rPr>
        <w:t xml:space="preserve">7.2 Where it appears on the site</w:t>
      </w:r>
    </w:p>
    <w:p>
      <w:pPr>
        <w:spacing w:after="140" w:line="300"/>
      </w:pPr>
      <w:r>
        <w:rPr>
          <w:rFonts w:ascii="Calibri" w:cs="Calibri" w:eastAsia="Calibri" w:hAnsi="Calibri"/>
          <w:b w:val="false"/>
          <w:bCs w:val="false"/>
          <w:i w:val="false"/>
          <w:iCs w:val="false"/>
          <w:color w:val="222222"/>
          <w:sz w:val="22"/>
          <w:szCs w:val="22"/>
        </w:rPr>
        <w:t xml:space="preserve">On the Tenders → Awards tab, every CUIT is shown next to an icon:</w:t>
      </w:r>
    </w:p>
    <w:p>
      <w:pPr>
        <w:pStyle w:val="ListParagraph"/>
        <w:numPr>
          <w:ilvl w:val="0"/>
          <w:numId w:val="2"/>
        </w:numPr>
        <w:spacing w:after="80" w:line="280"/>
      </w:pPr>
      <w:r>
        <w:rPr>
          <w:rFonts w:ascii="Calibri" w:cs="Calibri" w:eastAsia="Calibri" w:hAnsi="Calibri"/>
          <w:b w:val="false"/>
          <w:bCs w:val="false"/>
          <w:sz w:val="22"/>
          <w:szCs w:val="22"/>
        </w:rPr>
        <w:t xml:space="preserve">✓ green — the check digit matches: valid format.</w:t>
      </w:r>
    </w:p>
    <w:p>
      <w:pPr>
        <w:pStyle w:val="ListParagraph"/>
        <w:numPr>
          <w:ilvl w:val="0"/>
          <w:numId w:val="2"/>
        </w:numPr>
        <w:spacing w:after="80" w:line="280"/>
      </w:pPr>
      <w:r>
        <w:rPr>
          <w:rFonts w:ascii="Calibri" w:cs="Calibri" w:eastAsia="Calibri" w:hAnsi="Calibri"/>
          <w:b w:val="false"/>
          <w:bCs w:val="false"/>
          <w:sz w:val="22"/>
          <w:szCs w:val="22"/>
        </w:rPr>
        <w:t xml:space="preserve">⚠️ red — the check digit does not match: a possible extraction error from the notice; worth checking the original notice.</w:t>
      </w:r>
    </w:p>
    <w:p>
      <w:pPr>
        <w:pStyle w:val="Heading2"/>
        <w:spacing w:after="120" w:before="260"/>
      </w:pPr>
      <w:r>
        <w:rPr>
          <w:rFonts w:ascii="Calibri" w:cs="Calibri" w:eastAsia="Calibri" w:hAnsi="Calibri"/>
          <w:b/>
          <w:bCs/>
          <w:color w:val="1a1a2e"/>
          <w:sz w:val="26"/>
          <w:szCs w:val="26"/>
        </w:rPr>
        <w:t xml:space="preserve">7.3 Programmatic access (API)</w:t>
      </w:r>
    </w:p>
    <w:p>
      <w:pPr>
        <w:spacing w:after="140" w:line="300"/>
      </w:pPr>
      <w:r>
        <w:rPr>
          <w:rFonts w:ascii="Calibri" w:cs="Calibri" w:eastAsia="Calibri" w:hAnsi="Calibri"/>
          <w:b w:val="false"/>
          <w:bCs w:val="false"/>
          <w:i w:val="false"/>
          <w:iCs w:val="false"/>
          <w:color w:val="222222"/>
          <w:sz w:val="22"/>
          <w:szCs w:val="22"/>
        </w:rPr>
        <w:t xml:space="preserve">The validation is also available as a REST endpoint, so it can be integrated with other tools:</w:t>
      </w:r>
    </w:p>
    <w:p>
      <w:pPr>
        <w:pBdr>
          <w:top w:val="single" w:color="cfd6ea" w:sz="2"/>
          <w:bottom w:val="single" w:color="cfd6ea" w:sz="2"/>
          <w:left w:val="single" w:color="cfd6ea" w:sz="2"/>
          <w:right w:val="single" w:color="cfd6ea" w:sz="2"/>
        </w:pBdr>
        <w:shd w:fill="f0f2f8" w:val="clear"/>
        <w:spacing w:after="140"/>
      </w:pPr>
      <w:r>
        <w:rPr>
          <w:rFonts w:ascii="Consolas" w:cs="Consolas" w:eastAsia="Consolas" w:hAnsi="Consolas"/>
          <w:color w:val="1a1a2e"/>
          <w:sz w:val="19"/>
          <w:szCs w:val="19"/>
        </w:rPr>
        <w:t xml:space="preserve">GET /api/cuit/validar?cuit=30-12345678-1</w:t>
      </w:r>
    </w:p>
    <w:p>
      <w:pPr>
        <w:spacing w:after="140" w:line="300"/>
      </w:pPr>
      <w:r>
        <w:rPr>
          <w:rFonts w:ascii="Calibri" w:cs="Calibri" w:eastAsia="Calibri" w:hAnsi="Calibri"/>
          <w:b w:val="false"/>
          <w:bCs w:val="false"/>
          <w:i w:val="false"/>
          <w:iCs w:val="false"/>
          <w:color w:val="222222"/>
          <w:sz w:val="22"/>
          <w:szCs w:val="22"/>
        </w:rPr>
        <w:t xml:space="preserve">Sample response:</w:t>
      </w:r>
    </w:p>
    <w:p>
      <w:pPr>
        <w:pBdr>
          <w:top w:val="single" w:color="cfd6ea" w:sz="2"/>
          <w:bottom w:val="single" w:color="cfd6ea" w:sz="2"/>
          <w:left w:val="single" w:color="cfd6ea" w:sz="2"/>
          <w:right w:val="single" w:color="cfd6ea" w:sz="2"/>
        </w:pBdr>
        <w:shd w:fill="f0f2f8" w:val="clear"/>
        <w:spacing w:after="140"/>
      </w:pPr>
      <w:r>
        <w:rPr>
          <w:rFonts w:ascii="Consolas" w:cs="Consolas" w:eastAsia="Consolas" w:hAnsi="Consolas"/>
          <w:color w:val="1a1a2e"/>
          <w:sz w:val="19"/>
          <w:szCs w:val="19"/>
        </w:rPr>
        <w:t xml:space="preserve">{</w:t>
      </w:r>
      <w:r>
        <w:rPr>
          <w:rFonts w:ascii="Consolas" w:cs="Consolas" w:eastAsia="Consolas" w:hAnsi="Consolas"/>
          <w:color w:val="1a1a2e"/>
          <w:sz w:val="19"/>
          <w:szCs w:val="19"/>
        </w:rPr>
        <w:br/>
        <w:t xml:space="preserve">  "cuit": "30-12345678-1",</w:t>
      </w:r>
      <w:r>
        <w:rPr>
          <w:rFonts w:ascii="Consolas" w:cs="Consolas" w:eastAsia="Consolas" w:hAnsi="Consolas"/>
          <w:color w:val="1a1a2e"/>
          <w:sz w:val="19"/>
          <w:szCs w:val="19"/>
        </w:rPr>
        <w:br/>
        <w:t xml:space="preserve">  "cuit_normalizado": "30-12345678-1",</w:t>
      </w:r>
      <w:r>
        <w:rPr>
          <w:rFonts w:ascii="Consolas" w:cs="Consolas" w:eastAsia="Consolas" w:hAnsi="Consolas"/>
          <w:color w:val="1a1a2e"/>
          <w:sz w:val="19"/>
          <w:szCs w:val="19"/>
        </w:rPr>
        <w:br/>
        <w:t xml:space="preserve">  "valido_formato": true,</w:t>
      </w:r>
      <w:r>
        <w:rPr>
          <w:rFonts w:ascii="Consolas" w:cs="Consolas" w:eastAsia="Consolas" w:hAnsi="Consolas"/>
          <w:color w:val="1a1a2e"/>
          <w:sz w:val="19"/>
          <w:szCs w:val="19"/>
        </w:rPr>
        <w:br/>
        <w:t xml:space="preserve">  "motivo": null,</w:t>
      </w:r>
      <w:r>
        <w:rPr>
          <w:rFonts w:ascii="Consolas" w:cs="Consolas" w:eastAsia="Consolas" w:hAnsi="Consolas"/>
          <w:color w:val="1a1a2e"/>
          <w:sz w:val="19"/>
          <w:szCs w:val="19"/>
        </w:rPr>
        <w:br/>
        <w:t xml:space="preserve">  "tipo_persona": "Jurídica",</w:t>
      </w:r>
      <w:r>
        <w:rPr>
          <w:rFonts w:ascii="Consolas" w:cs="Consolas" w:eastAsia="Consolas" w:hAnsi="Consolas"/>
          <w:color w:val="1a1a2e"/>
          <w:sz w:val="19"/>
          <w:szCs w:val="19"/>
        </w:rPr>
        <w:br/>
        <w:t xml:space="preserve">  "fuente": "Validación local (módulo 11 AFIP)"</w:t>
      </w:r>
      <w:r>
        <w:rPr>
          <w:rFonts w:ascii="Consolas" w:cs="Consolas" w:eastAsia="Consolas" w:hAnsi="Consolas"/>
          <w:color w:val="1a1a2e"/>
          <w:sz w:val="19"/>
          <w:szCs w:val="19"/>
        </w:rPr>
        <w:br/>
        <w:t xml:space="preserve">}</w:t>
      </w:r>
    </w:p>
    <w:p>
      <w:pPr>
        <w:spacing w:after="140" w:line="300"/>
      </w:pPr>
      <w:r>
        <w:rPr>
          <w:rFonts w:ascii="Calibri" w:cs="Calibri" w:eastAsia="Calibri" w:hAnsi="Calibri"/>
          <w:b w:val="false"/>
          <w:bCs w:val="false"/>
          <w:i w:val="false"/>
          <w:iCs w:val="false"/>
          <w:color w:val="222222"/>
          <w:sz w:val="22"/>
          <w:szCs w:val="22"/>
        </w:rPr>
        <w:t xml:space="preserve">To validate several CUITs in a single call (up to 200):</w:t>
      </w:r>
    </w:p>
    <w:p>
      <w:pPr>
        <w:pBdr>
          <w:top w:val="single" w:color="cfd6ea" w:sz="2"/>
          <w:bottom w:val="single" w:color="cfd6ea" w:sz="2"/>
          <w:left w:val="single" w:color="cfd6ea" w:sz="2"/>
          <w:right w:val="single" w:color="cfd6ea" w:sz="2"/>
        </w:pBdr>
        <w:shd w:fill="f0f2f8" w:val="clear"/>
        <w:spacing w:after="140"/>
      </w:pPr>
      <w:r>
        <w:rPr>
          <w:rFonts w:ascii="Consolas" w:cs="Consolas" w:eastAsia="Consolas" w:hAnsi="Consolas"/>
          <w:color w:val="1a1a2e"/>
          <w:sz w:val="19"/>
          <w:szCs w:val="19"/>
        </w:rPr>
        <w:t xml:space="preserve">GET /api/cuit/validar-lote?cuits=30-12345678-1,20-12345678-6</w:t>
      </w:r>
    </w:p>
    <w:p>
      <w:pPr>
        <w:pStyle w:val="Heading1"/>
        <w:pBdr>
          <w:bottom w:val="single" w:color="2b4fce" w:sz="6" w:space="4"/>
        </w:pBdr>
        <w:spacing w:after="160" w:before="400"/>
      </w:pPr>
      <w:r>
        <w:rPr>
          <w:rFonts w:ascii="Calibri" w:cs="Calibri" w:eastAsia="Calibri" w:hAnsi="Calibri"/>
          <w:b/>
          <w:bCs/>
          <w:color w:val="2b4fce"/>
          <w:sz w:val="32"/>
          <w:szCs w:val="32"/>
        </w:rPr>
        <w:t xml:space="preserve">8. International sanctions cross-reference (MEACI)</w:t>
      </w:r>
    </w:p>
    <w:p>
      <w:pPr>
        <w:spacing w:after="140" w:line="300"/>
      </w:pPr>
      <w:r>
        <w:rPr>
          <w:rFonts w:ascii="Calibri" w:cs="Calibri" w:eastAsia="Calibri" w:hAnsi="Calibri"/>
          <w:b w:val="false"/>
          <w:bCs w:val="false"/>
          <w:i w:val="false"/>
          <w:iCs w:val="false"/>
          <w:color w:val="222222"/>
          <w:sz w:val="22"/>
          <w:szCs w:val="22"/>
        </w:rPr>
        <w:t xml:space="preserve">Independently of the format validation, the system queries a second, genuinely live service — MEACI — that cross-references the awarded vendor's CUIT against international sanctions databases. If there is a match, the contract row displays the 🌍 INTERNATIONAL ALERT tag.</w:t>
      </w:r>
    </w:p>
    <w:p>
      <w:pPr>
        <w:pBdr>
          <w:top w:val="single" w:color="cfd6ea" w:sz="2"/>
          <w:bottom w:val="single" w:color="cfd6ea" w:sz="2"/>
          <w:left w:val="single" w:color="cfd6ea" w:sz="2"/>
          <w:right w:val="single" w:color="cfd6ea" w:sz="2"/>
        </w:pBdr>
        <w:shd w:fill="f0f2f8" w:val="clear"/>
        <w:spacing w:after="140"/>
      </w:pPr>
      <w:r>
        <w:rPr>
          <w:rFonts w:ascii="Consolas" w:cs="Consolas" w:eastAsia="Consolas" w:hAnsi="Consolas"/>
          <w:color w:val="1a1a2e"/>
          <w:sz w:val="19"/>
          <w:szCs w:val="19"/>
        </w:rPr>
        <w:t xml:space="preserve">GET /api/cruce-cuit?cuit=30-12345678-1</w:t>
      </w:r>
      <w:r>
        <w:rPr>
          <w:rFonts w:ascii="Consolas" w:cs="Consolas" w:eastAsia="Consolas" w:hAnsi="Consolas"/>
          <w:color w:val="1a1a2e"/>
          <w:sz w:val="19"/>
          <w:szCs w:val="19"/>
        </w:rPr>
        <w:br/>
        <w:t xml:space="preserve">GET /api/cruce-cuits-bulk?cuits=cuit1,cuit2,cuit3   (max. 50 per call)</w:t>
      </w:r>
    </w:p>
    <w:p>
      <w:r>
        <w:br w:type="page"/>
      </w:r>
    </w:p>
    <w:p>
      <w:pPr>
        <w:pStyle w:val="Heading1"/>
        <w:pBdr>
          <w:bottom w:val="single" w:color="2b4fce" w:sz="6" w:space="4"/>
        </w:pBdr>
        <w:spacing w:after="160" w:before="400"/>
      </w:pPr>
      <w:r>
        <w:rPr>
          <w:rFonts w:ascii="Calibri" w:cs="Calibri" w:eastAsia="Calibri" w:hAnsi="Calibri"/>
          <w:b/>
          <w:bCs/>
          <w:color w:val="2b4fce"/>
          <w:sz w:val="32"/>
          <w:szCs w:val="32"/>
        </w:rPr>
        <w:t xml:space="preserve">9. Documentation and how to interpret results</w:t>
      </w:r>
    </w:p>
    <w:p>
      <w:pPr>
        <w:pStyle w:val="Heading2"/>
        <w:spacing w:after="120" w:before="260"/>
      </w:pPr>
      <w:r>
        <w:rPr>
          <w:rFonts w:ascii="Calibri" w:cs="Calibri" w:eastAsia="Calibri" w:hAnsi="Calibri"/>
          <w:b/>
          <w:bCs/>
          <w:color w:val="1a1a2e"/>
          <w:sz w:val="26"/>
          <w:szCs w:val="26"/>
        </w:rPr>
        <w:t xml:space="preserve">9.1 Quick start guide</w:t>
      </w:r>
    </w:p>
    <w:p>
      <w:pPr>
        <w:pStyle w:val="ListParagraph"/>
        <w:numPr>
          <w:ilvl w:val="0"/>
          <w:numId w:val="4"/>
        </w:numPr>
        <w:spacing w:after="80" w:line="280"/>
      </w:pPr>
      <w:r>
        <w:rPr>
          <w:rFonts w:ascii="Calibri" w:cs="Calibri" w:eastAsia="Calibri" w:hAnsi="Calibri"/>
          <w:sz w:val="22"/>
          <w:szCs w:val="22"/>
        </w:rPr>
        <w:t xml:space="preserve">Go to Live Analysis and click the 🚀 button to run the day's scraping.</w:t>
      </w:r>
    </w:p>
    <w:p>
      <w:pPr>
        <w:pStyle w:val="ListParagraph"/>
        <w:numPr>
          <w:ilvl w:val="0"/>
          <w:numId w:val="4"/>
        </w:numPr>
        <w:spacing w:after="80" w:line="280"/>
      </w:pPr>
      <w:r>
        <w:rPr>
          <w:rFonts w:ascii="Calibri" w:cs="Calibri" w:eastAsia="Calibri" w:hAnsi="Calibri"/>
          <w:sz w:val="22"/>
          <w:szCs w:val="22"/>
        </w:rPr>
        <w:t xml:space="preserve">On the Dashboard, review the analysis results, metrics and charts.</w:t>
      </w:r>
    </w:p>
    <w:p>
      <w:pPr>
        <w:pStyle w:val="ListParagraph"/>
        <w:numPr>
          <w:ilvl w:val="0"/>
          <w:numId w:val="4"/>
        </w:numPr>
        <w:spacing w:after="80" w:line="280"/>
      </w:pPr>
      <w:r>
        <w:rPr>
          <w:rFonts w:ascii="Calibri" w:cs="Calibri" w:eastAsia="Calibri" w:hAnsi="Calibri"/>
          <w:sz w:val="22"/>
          <w:szCs w:val="22"/>
        </w:rPr>
        <w:t xml:space="preserve">Sort by XAI Index to identify the most critical cases.</w:t>
      </w:r>
    </w:p>
    <w:p>
      <w:pPr>
        <w:pStyle w:val="Heading2"/>
        <w:spacing w:after="120" w:before="260"/>
      </w:pPr>
      <w:r>
        <w:rPr>
          <w:rFonts w:ascii="Calibri" w:cs="Calibri" w:eastAsia="Calibri" w:hAnsi="Calibri"/>
          <w:b/>
          <w:bCs/>
          <w:color w:val="1a1a2e"/>
          <w:sz w:val="26"/>
          <w:szCs w:val="26"/>
        </w:rPr>
        <w:t xml:space="preserve">9.2 Interpreting the risk index</w:t>
      </w:r>
    </w:p>
    <w:p>
      <w:pPr>
        <w:spacing w:after="140" w:line="300"/>
      </w:pPr>
      <w:r>
        <w:rPr>
          <w:rFonts w:ascii="Calibri" w:cs="Calibri" w:eastAsia="Calibri" w:hAnsi="Calibri"/>
          <w:b w:val="false"/>
          <w:bCs w:val="false"/>
          <w:i w:val="false"/>
          <w:iCs w:val="false"/>
          <w:color w:val="222222"/>
          <w:sz w:val="22"/>
          <w:szCs w:val="22"/>
        </w:rPr>
        <w:t xml:space="preserve">The XAI Index is a number from 0 to 10 that measures the level of discretion detected in each tender process. The higher it is, the more likely the process corresponds to one of the 7 regressive-transfer scenarios described in Section 2.</w:t>
      </w:r>
    </w:p>
    <w:p>
      <w:pPr>
        <w:pStyle w:val="Heading2"/>
        <w:spacing w:after="120" w:before="260"/>
      </w:pPr>
      <w:r>
        <w:rPr>
          <w:rFonts w:ascii="Calibri" w:cs="Calibri" w:eastAsia="Calibri" w:hAnsi="Calibri"/>
          <w:b/>
          <w:bCs/>
          <w:color w:val="1a1a2e"/>
          <w:sz w:val="26"/>
          <w:szCs w:val="26"/>
        </w:rPr>
        <w:t xml:space="preserve">9.3 Available downloads</w:t>
      </w:r>
    </w:p>
    <w:p>
      <w:pPr>
        <w:pStyle w:val="ListParagraph"/>
        <w:numPr>
          <w:ilvl w:val="0"/>
          <w:numId w:val="2"/>
        </w:numPr>
        <w:spacing w:after="80" w:line="280"/>
      </w:pPr>
      <w:r>
        <w:rPr>
          <w:rFonts w:ascii="Calibri" w:cs="Calibri" w:eastAsia="Calibri" w:hAnsi="Calibri"/>
          <w:b w:val="false"/>
          <w:bCs w:val="false"/>
          <w:sz w:val="22"/>
          <w:szCs w:val="22"/>
        </w:rPr>
        <w:t xml:space="preserve">📥 Download Original Article (Ph.D. Monteverde) — the academic paper in PDF.</w:t>
      </w:r>
    </w:p>
    <w:p>
      <w:pPr>
        <w:pStyle w:val="ListParagraph"/>
        <w:numPr>
          <w:ilvl w:val="0"/>
          <w:numId w:val="2"/>
        </w:numPr>
        <w:spacing w:after="80" w:line="280"/>
      </w:pPr>
      <w:r>
        <w:rPr>
          <w:rFonts w:ascii="Calibri" w:cs="Calibri" w:eastAsia="Calibri" w:hAnsi="Calibri"/>
          <w:b w:val="false"/>
          <w:bCs w:val="false"/>
          <w:sz w:val="22"/>
          <w:szCs w:val="22"/>
        </w:rPr>
        <w:t xml:space="preserve">📥 Download User Manual — this manual, also available from the site's Documentation section.</w:t>
      </w:r>
    </w:p>
    <w:p>
      <w:pPr>
        <w:pStyle w:val="Heading1"/>
        <w:pBdr>
          <w:bottom w:val="single" w:color="2b4fce" w:sz="6" w:space="4"/>
        </w:pBdr>
        <w:spacing w:after="160" w:before="400"/>
      </w:pPr>
      <w:r>
        <w:rPr>
          <w:rFonts w:ascii="Calibri" w:cs="Calibri" w:eastAsia="Calibri" w:hAnsi="Calibri"/>
          <w:b/>
          <w:bCs/>
          <w:color w:val="2b4fce"/>
          <w:sz w:val="32"/>
          <w:szCs w:val="32"/>
        </w:rPr>
        <w:t xml:space="preserve">10. REST API</w:t>
      </w:r>
    </w:p>
    <w:p>
      <w:pPr>
        <w:spacing w:after="140" w:line="300"/>
      </w:pPr>
      <w:r>
        <w:rPr>
          <w:rFonts w:ascii="Calibri" w:cs="Calibri" w:eastAsia="Calibri" w:hAnsi="Calibri"/>
          <w:b w:val="false"/>
          <w:bCs w:val="false"/>
          <w:i w:val="false"/>
          <w:iCs w:val="false"/>
          <w:color w:val="222222"/>
          <w:sz w:val="22"/>
          <w:szCs w:val="22"/>
        </w:rPr>
        <w:t xml:space="preserve">The system exposes a REST API built with FastAPI. Interactive documentation (Swagger UI) is available at /docs and lets you try every endpoint directly from the browser.</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600"/>
        <w:gridCol w:w="5750"/>
      </w:tblGrid>
      <w:tr>
        <w:trPr>
          <w:tblHeader/>
        </w:trPr>
        <w:tc>
          <w:tcPr>
            <w:tcW w:type="dxa" w:w="3600"/>
            <w:shd w:fill="2b4fce" w:color="2b4fce" w:val="clear"/>
            <w:tcMar>
              <w:top w:type="dxa" w:w="90"/>
              <w:left w:type="dxa" w:w="120"/>
              <w:bottom w:type="dxa" w:w="90"/>
              <w:right w:type="dxa" w:w="120"/>
            </w:tcMar>
          </w:tcPr>
          <w:p>
            <w:r>
              <w:rPr>
                <w:rFonts w:ascii="Calibri" w:cs="Calibri" w:eastAsia="Calibri" w:hAnsi="Calibri"/>
                <w:b/>
                <w:bCs/>
                <w:color w:val="FFFFFF"/>
                <w:sz w:val="20"/>
                <w:szCs w:val="20"/>
              </w:rPr>
              <w:t xml:space="preserve">Endpoint</w:t>
            </w:r>
          </w:p>
        </w:tc>
        <w:tc>
          <w:tcPr>
            <w:tcW w:type="dxa" w:w="5750"/>
            <w:shd w:fill="2b4fce" w:color="2b4fce" w:val="clear"/>
            <w:tcMar>
              <w:top w:type="dxa" w:w="90"/>
              <w:left w:type="dxa" w:w="120"/>
              <w:bottom w:type="dxa" w:w="90"/>
              <w:right w:type="dxa" w:w="120"/>
            </w:tcMar>
          </w:tcPr>
          <w:p>
            <w:r>
              <w:rPr>
                <w:rFonts w:ascii="Calibri" w:cs="Calibri" w:eastAsia="Calibri" w:hAnsi="Calibri"/>
                <w:b/>
                <w:bCs/>
                <w:color w:val="FFFFFF"/>
                <w:sz w:val="20"/>
                <w:szCs w:val="20"/>
              </w:rPr>
              <w:t xml:space="preserve">Description</w:t>
            </w:r>
          </w:p>
        </w:tc>
      </w:tr>
      <w:tr>
        <w:tc>
          <w:tcPr>
            <w:tcW w:type="dxa" w:w="3600"/>
            <w:shd w:fill="FFFFFF" w:val="clear"/>
            <w:tcMar>
              <w:top w:type="dxa" w:w="80"/>
              <w:left w:type="dxa" w:w="120"/>
              <w:bottom w:type="dxa" w:w="80"/>
              <w:right w:type="dxa" w:w="120"/>
            </w:tcMar>
          </w:tcPr>
          <w:p>
            <w:r>
              <w:rPr>
                <w:rFonts w:ascii="Calibri" w:cs="Calibri" w:eastAsia="Calibri" w:hAnsi="Calibri"/>
                <w:sz w:val="20"/>
                <w:szCs w:val="20"/>
              </w:rPr>
              <w:t xml:space="preserve">GET /api/status</w:t>
            </w:r>
          </w:p>
        </w:tc>
        <w:tc>
          <w:tcPr>
            <w:tcW w:type="dxa" w:w="5750"/>
            <w:shd w:fill="FFFFFF" w:val="clear"/>
            <w:tcMar>
              <w:top w:type="dxa" w:w="80"/>
              <w:left w:type="dxa" w:w="120"/>
              <w:bottom w:type="dxa" w:w="80"/>
              <w:right w:type="dxa" w:w="120"/>
            </w:tcMar>
          </w:tcPr>
          <w:p>
            <w:r>
              <w:rPr>
                <w:rFonts w:ascii="Calibri" w:cs="Calibri" w:eastAsia="Calibri" w:hAnsi="Calibri"/>
                <w:sz w:val="20"/>
                <w:szCs w:val="20"/>
              </w:rPr>
              <w:t xml:space="preserve">Overall system status</w:t>
            </w:r>
          </w:p>
        </w:tc>
      </w:tr>
      <w:tr>
        <w:tc>
          <w:tcPr>
            <w:tcW w:type="dxa" w:w="3600"/>
            <w:shd w:fill="f5f7fc" w:val="clear"/>
            <w:tcMar>
              <w:top w:type="dxa" w:w="80"/>
              <w:left w:type="dxa" w:w="120"/>
              <w:bottom w:type="dxa" w:w="80"/>
              <w:right w:type="dxa" w:w="120"/>
            </w:tcMar>
          </w:tcPr>
          <w:p>
            <w:r>
              <w:rPr>
                <w:rFonts w:ascii="Calibri" w:cs="Calibri" w:eastAsia="Calibri" w:hAnsi="Calibri"/>
                <w:sz w:val="20"/>
                <w:szCs w:val="20"/>
              </w:rPr>
              <w:t xml:space="preserve">GET /api/reportes</w:t>
            </w:r>
          </w:p>
        </w:tc>
        <w:tc>
          <w:tcPr>
            <w:tcW w:type="dxa" w:w="5750"/>
            <w:shd w:fill="f5f7fc" w:val="clear"/>
            <w:tcMar>
              <w:top w:type="dxa" w:w="80"/>
              <w:left w:type="dxa" w:w="120"/>
              <w:bottom w:type="dxa" w:w="80"/>
              <w:right w:type="dxa" w:w="120"/>
            </w:tcMar>
          </w:tcPr>
          <w:p>
            <w:r>
              <w:rPr>
                <w:rFonts w:ascii="Calibri" w:cs="Calibri" w:eastAsia="Calibri" w:hAnsi="Calibri"/>
                <w:sz w:val="20"/>
                <w:szCs w:val="20"/>
              </w:rPr>
              <w:t xml:space="preserve">List of available reports</w:t>
            </w:r>
          </w:p>
        </w:tc>
      </w:tr>
      <w:tr>
        <w:tc>
          <w:tcPr>
            <w:tcW w:type="dxa" w:w="3600"/>
            <w:shd w:fill="FFFFFF" w:val="clear"/>
            <w:tcMar>
              <w:top w:type="dxa" w:w="80"/>
              <w:left w:type="dxa" w:w="120"/>
              <w:bottom w:type="dxa" w:w="80"/>
              <w:right w:type="dxa" w:w="120"/>
            </w:tcMar>
          </w:tcPr>
          <w:p>
            <w:r>
              <w:rPr>
                <w:rFonts w:ascii="Calibri" w:cs="Calibri" w:eastAsia="Calibri" w:hAnsi="Calibri"/>
                <w:sz w:val="20"/>
                <w:szCs w:val="20"/>
              </w:rPr>
              <w:t xml:space="preserve">GET /api/dias-disponibles</w:t>
            </w:r>
          </w:p>
        </w:tc>
        <w:tc>
          <w:tcPr>
            <w:tcW w:type="dxa" w:w="5750"/>
            <w:shd w:fill="FFFFFF" w:val="clear"/>
            <w:tcMar>
              <w:top w:type="dxa" w:w="80"/>
              <w:left w:type="dxa" w:w="120"/>
              <w:bottom w:type="dxa" w:w="80"/>
              <w:right w:type="dxa" w:w="120"/>
            </w:tcMar>
          </w:tcPr>
          <w:p>
            <w:r>
              <w:rPr>
                <w:rFonts w:ascii="Calibri" w:cs="Calibri" w:eastAsia="Calibri" w:hAnsi="Calibri"/>
                <w:sz w:val="20"/>
                <w:szCs w:val="20"/>
              </w:rPr>
              <w:t xml:space="preserve">Days with already-processed data</w:t>
            </w:r>
          </w:p>
        </w:tc>
      </w:tr>
      <w:tr>
        <w:tc>
          <w:tcPr>
            <w:tcW w:type="dxa" w:w="3600"/>
            <w:shd w:fill="f5f7fc" w:val="clear"/>
            <w:tcMar>
              <w:top w:type="dxa" w:w="80"/>
              <w:left w:type="dxa" w:w="120"/>
              <w:bottom w:type="dxa" w:w="80"/>
              <w:right w:type="dxa" w:w="120"/>
            </w:tcMar>
          </w:tcPr>
          <w:p>
            <w:r>
              <w:rPr>
                <w:rFonts w:ascii="Calibri" w:cs="Calibri" w:eastAsia="Calibri" w:hAnsi="Calibri"/>
                <w:sz w:val="20"/>
                <w:szCs w:val="20"/>
              </w:rPr>
              <w:t xml:space="preserve">GET /api/licitaciones/datos</w:t>
            </w:r>
          </w:p>
        </w:tc>
        <w:tc>
          <w:tcPr>
            <w:tcW w:type="dxa" w:w="5750"/>
            <w:shd w:fill="f5f7fc" w:val="clear"/>
            <w:tcMar>
              <w:top w:type="dxa" w:w="80"/>
              <w:left w:type="dxa" w:w="120"/>
              <w:bottom w:type="dxa" w:w="80"/>
              <w:right w:type="dxa" w:w="120"/>
            </w:tcMar>
          </w:tcPr>
          <w:p>
            <w:r>
              <w:rPr>
                <w:rFonts w:ascii="Calibri" w:cs="Calibri" w:eastAsia="Calibri" w:hAnsi="Calibri"/>
                <w:sz w:val="20"/>
                <w:szCs w:val="20"/>
              </w:rPr>
              <w:t xml:space="preserve">Data from the latest tenders report</w:t>
            </w:r>
          </w:p>
        </w:tc>
      </w:tr>
      <w:tr>
        <w:tc>
          <w:tcPr>
            <w:tcW w:type="dxa" w:w="3600"/>
            <w:shd w:fill="FFFFFF" w:val="clear"/>
            <w:tcMar>
              <w:top w:type="dxa" w:w="80"/>
              <w:left w:type="dxa" w:w="120"/>
              <w:bottom w:type="dxa" w:w="80"/>
              <w:right w:type="dxa" w:w="120"/>
            </w:tcMar>
          </w:tcPr>
          <w:p>
            <w:r>
              <w:rPr>
                <w:rFonts w:ascii="Calibri" w:cs="Calibri" w:eastAsia="Calibri" w:hAnsi="Calibri"/>
                <w:sz w:val="20"/>
                <w:szCs w:val="20"/>
              </w:rPr>
              <w:t xml:space="preserve">POST /api/licitaciones/ejecutar</w:t>
            </w:r>
          </w:p>
        </w:tc>
        <w:tc>
          <w:tcPr>
            <w:tcW w:type="dxa" w:w="5750"/>
            <w:shd w:fill="FFFFFF" w:val="clear"/>
            <w:tcMar>
              <w:top w:type="dxa" w:w="80"/>
              <w:left w:type="dxa" w:w="120"/>
              <w:bottom w:type="dxa" w:w="80"/>
              <w:right w:type="dxa" w:w="120"/>
            </w:tcMar>
          </w:tcPr>
          <w:p>
            <w:r>
              <w:rPr>
                <w:rFonts w:ascii="Calibri" w:cs="Calibri" w:eastAsia="Calibri" w:hAnsi="Calibri"/>
                <w:sz w:val="20"/>
                <w:szCs w:val="20"/>
              </w:rPr>
              <w:t xml:space="preserve">Manually runs the analysis cycle</w:t>
            </w:r>
          </w:p>
        </w:tc>
      </w:tr>
      <w:tr>
        <w:tc>
          <w:tcPr>
            <w:tcW w:type="dxa" w:w="3600"/>
            <w:shd w:fill="f5f7fc" w:val="clear"/>
            <w:tcMar>
              <w:top w:type="dxa" w:w="80"/>
              <w:left w:type="dxa" w:w="120"/>
              <w:bottom w:type="dxa" w:w="80"/>
              <w:right w:type="dxa" w:w="120"/>
            </w:tcMar>
          </w:tcPr>
          <w:p>
            <w:r>
              <w:rPr>
                <w:rFonts w:ascii="Calibri" w:cs="Calibri" w:eastAsia="Calibri" w:hAnsi="Calibri"/>
                <w:sz w:val="20"/>
                <w:szCs w:val="20"/>
              </w:rPr>
              <w:t xml:space="preserve">POST /api/analisis</w:t>
            </w:r>
          </w:p>
        </w:tc>
        <w:tc>
          <w:tcPr>
            <w:tcW w:type="dxa" w:w="5750"/>
            <w:shd w:fill="f5f7fc" w:val="clear"/>
            <w:tcMar>
              <w:top w:type="dxa" w:w="80"/>
              <w:left w:type="dxa" w:w="120"/>
              <w:bottom w:type="dxa" w:w="80"/>
              <w:right w:type="dxa" w:w="120"/>
            </w:tcMar>
          </w:tcPr>
          <w:p>
            <w:r>
              <w:rPr>
                <w:rFonts w:ascii="Calibri" w:cs="Calibri" w:eastAsia="Calibri" w:hAnsi="Calibri"/>
                <w:sz w:val="20"/>
                <w:szCs w:val="20"/>
              </w:rPr>
              <w:t xml:space="preserve">Runs a programmatic analysis</w:t>
            </w:r>
          </w:p>
        </w:tc>
      </w:tr>
      <w:tr>
        <w:tc>
          <w:tcPr>
            <w:tcW w:type="dxa" w:w="3600"/>
            <w:shd w:fill="FFFFFF" w:val="clear"/>
            <w:tcMar>
              <w:top w:type="dxa" w:w="80"/>
              <w:left w:type="dxa" w:w="120"/>
              <w:bottom w:type="dxa" w:w="80"/>
              <w:right w:type="dxa" w:w="120"/>
            </w:tcMar>
          </w:tcPr>
          <w:p>
            <w:r>
              <w:rPr>
                <w:rFonts w:ascii="Calibri" w:cs="Calibri" w:eastAsia="Calibri" w:hAnsi="Calibri"/>
                <w:sz w:val="20"/>
                <w:szCs w:val="20"/>
              </w:rPr>
              <w:t xml:space="preserve">GET /api/marco-teorico</w:t>
            </w:r>
          </w:p>
        </w:tc>
        <w:tc>
          <w:tcPr>
            <w:tcW w:type="dxa" w:w="5750"/>
            <w:shd w:fill="FFFFFF" w:val="clear"/>
            <w:tcMar>
              <w:top w:type="dxa" w:w="80"/>
              <w:left w:type="dxa" w:w="120"/>
              <w:bottom w:type="dxa" w:w="80"/>
              <w:right w:type="dxa" w:w="120"/>
            </w:tcMar>
          </w:tcPr>
          <w:p>
            <w:r>
              <w:rPr>
                <w:rFonts w:ascii="Calibri" w:cs="Calibri" w:eastAsia="Calibri" w:hAnsi="Calibri"/>
                <w:sz w:val="20"/>
                <w:szCs w:val="20"/>
              </w:rPr>
              <w:t xml:space="preserve">Detail of the XAI Matrix (7 scenarios)</w:t>
            </w:r>
          </w:p>
        </w:tc>
      </w:tr>
      <w:tr>
        <w:tc>
          <w:tcPr>
            <w:tcW w:type="dxa" w:w="3600"/>
            <w:shd w:fill="f5f7fc" w:val="clear"/>
            <w:tcMar>
              <w:top w:type="dxa" w:w="80"/>
              <w:left w:type="dxa" w:w="120"/>
              <w:bottom w:type="dxa" w:w="80"/>
              <w:right w:type="dxa" w:w="120"/>
            </w:tcMar>
          </w:tcPr>
          <w:p>
            <w:r>
              <w:rPr>
                <w:rFonts w:ascii="Calibri" w:cs="Calibri" w:eastAsia="Calibri" w:hAnsi="Calibri"/>
                <w:sz w:val="20"/>
                <w:szCs w:val="20"/>
              </w:rPr>
              <w:t xml:space="preserve">GET /api/cuit/validar</w:t>
            </w:r>
          </w:p>
        </w:tc>
        <w:tc>
          <w:tcPr>
            <w:tcW w:type="dxa" w:w="5750"/>
            <w:shd w:fill="f5f7fc" w:val="clear"/>
            <w:tcMar>
              <w:top w:type="dxa" w:w="80"/>
              <w:left w:type="dxa" w:w="120"/>
              <w:bottom w:type="dxa" w:w="80"/>
              <w:right w:type="dxa" w:w="120"/>
            </w:tcMar>
          </w:tcPr>
          <w:p>
            <w:r>
              <w:rPr>
                <w:rFonts w:ascii="Calibri" w:cs="Calibri" w:eastAsia="Calibri" w:hAnsi="Calibri"/>
                <w:sz w:val="20"/>
                <w:szCs w:val="20"/>
              </w:rPr>
              <w:t xml:space="preserve">Validates a CUIT's format (new, see Section 7)</w:t>
            </w:r>
          </w:p>
        </w:tc>
      </w:tr>
      <w:tr>
        <w:tc>
          <w:tcPr>
            <w:tcW w:type="dxa" w:w="3600"/>
            <w:shd w:fill="FFFFFF" w:val="clear"/>
            <w:tcMar>
              <w:top w:type="dxa" w:w="80"/>
              <w:left w:type="dxa" w:w="120"/>
              <w:bottom w:type="dxa" w:w="80"/>
              <w:right w:type="dxa" w:w="120"/>
            </w:tcMar>
          </w:tcPr>
          <w:p>
            <w:r>
              <w:rPr>
                <w:rFonts w:ascii="Calibri" w:cs="Calibri" w:eastAsia="Calibri" w:hAnsi="Calibri"/>
                <w:sz w:val="20"/>
                <w:szCs w:val="20"/>
              </w:rPr>
              <w:t xml:space="preserve">GET /api/cuit/validar-lote</w:t>
            </w:r>
          </w:p>
        </w:tc>
        <w:tc>
          <w:tcPr>
            <w:tcW w:type="dxa" w:w="5750"/>
            <w:shd w:fill="FFFFFF" w:val="clear"/>
            <w:tcMar>
              <w:top w:type="dxa" w:w="80"/>
              <w:left w:type="dxa" w:w="120"/>
              <w:bottom w:type="dxa" w:w="80"/>
              <w:right w:type="dxa" w:w="120"/>
            </w:tcMar>
          </w:tcPr>
          <w:p>
            <w:r>
              <w:rPr>
                <w:rFonts w:ascii="Calibri" w:cs="Calibri" w:eastAsia="Calibri" w:hAnsi="Calibri"/>
                <w:sz w:val="20"/>
                <w:szCs w:val="20"/>
              </w:rPr>
              <w:t xml:space="preserve">Validates several CUITs' format (new)</w:t>
            </w:r>
          </w:p>
        </w:tc>
      </w:tr>
      <w:tr>
        <w:tc>
          <w:tcPr>
            <w:tcW w:type="dxa" w:w="3600"/>
            <w:shd w:fill="f5f7fc" w:val="clear"/>
            <w:tcMar>
              <w:top w:type="dxa" w:w="80"/>
              <w:left w:type="dxa" w:w="120"/>
              <w:bottom w:type="dxa" w:w="80"/>
              <w:right w:type="dxa" w:w="120"/>
            </w:tcMar>
          </w:tcPr>
          <w:p>
            <w:r>
              <w:rPr>
                <w:rFonts w:ascii="Calibri" w:cs="Calibri" w:eastAsia="Calibri" w:hAnsi="Calibri"/>
                <w:sz w:val="20"/>
                <w:szCs w:val="20"/>
              </w:rPr>
              <w:t xml:space="preserve">GET /api/cruce-cuit</w:t>
            </w:r>
          </w:p>
        </w:tc>
        <w:tc>
          <w:tcPr>
            <w:tcW w:type="dxa" w:w="5750"/>
            <w:shd w:fill="f5f7fc" w:val="clear"/>
            <w:tcMar>
              <w:top w:type="dxa" w:w="80"/>
              <w:left w:type="dxa" w:w="120"/>
              <w:bottom w:type="dxa" w:w="80"/>
              <w:right w:type="dxa" w:w="120"/>
            </w:tcMar>
          </w:tcPr>
          <w:p>
            <w:r>
              <w:rPr>
                <w:rFonts w:ascii="Calibri" w:cs="Calibri" w:eastAsia="Calibri" w:hAnsi="Calibri"/>
                <w:sz w:val="20"/>
                <w:szCs w:val="20"/>
              </w:rPr>
              <w:t xml:space="preserve">Checks international sanctions (MEACI)</w:t>
            </w:r>
          </w:p>
        </w:tc>
      </w:tr>
      <w:tr>
        <w:tc>
          <w:tcPr>
            <w:tcW w:type="dxa" w:w="3600"/>
            <w:shd w:fill="FFFFFF" w:val="clear"/>
            <w:tcMar>
              <w:top w:type="dxa" w:w="80"/>
              <w:left w:type="dxa" w:w="120"/>
              <w:bottom w:type="dxa" w:w="80"/>
              <w:right w:type="dxa" w:w="120"/>
            </w:tcMar>
          </w:tcPr>
          <w:p>
            <w:r>
              <w:rPr>
                <w:rFonts w:ascii="Calibri" w:cs="Calibri" w:eastAsia="Calibri" w:hAnsi="Calibri"/>
                <w:sz w:val="20"/>
                <w:szCs w:val="20"/>
              </w:rPr>
              <w:t xml:space="preserve">GET /api/cruce-cuits-bulk</w:t>
            </w:r>
          </w:p>
        </w:tc>
        <w:tc>
          <w:tcPr>
            <w:tcW w:type="dxa" w:w="5750"/>
            <w:shd w:fill="FFFFFF" w:val="clear"/>
            <w:tcMar>
              <w:top w:type="dxa" w:w="80"/>
              <w:left w:type="dxa" w:w="120"/>
              <w:bottom w:type="dxa" w:w="80"/>
              <w:right w:type="dxa" w:w="120"/>
            </w:tcMar>
          </w:tcPr>
          <w:p>
            <w:r>
              <w:rPr>
                <w:rFonts w:ascii="Calibri" w:cs="Calibri" w:eastAsia="Calibri" w:hAnsi="Calibri"/>
                <w:sz w:val="20"/>
                <w:szCs w:val="20"/>
              </w:rPr>
              <w:t xml:space="preserve">Checks sanctions for several CUITs (MEACI)</w:t>
            </w:r>
          </w:p>
        </w:tc>
      </w:tr>
      <w:tr>
        <w:tc>
          <w:tcPr>
            <w:tcW w:type="dxa" w:w="3600"/>
            <w:shd w:fill="f5f7fc" w:val="clear"/>
            <w:tcMar>
              <w:top w:type="dxa" w:w="80"/>
              <w:left w:type="dxa" w:w="120"/>
              <w:bottom w:type="dxa" w:w="80"/>
              <w:right w:type="dxa" w:w="120"/>
            </w:tcMar>
          </w:tcPr>
          <w:p>
            <w:r>
              <w:rPr>
                <w:rFonts w:ascii="Calibri" w:cs="Calibri" w:eastAsia="Calibri" w:hAnsi="Calibri"/>
                <w:sz w:val="20"/>
                <w:szCs w:val="20"/>
              </w:rPr>
              <w:t xml:space="preserve">GET /api/ia/status</w:t>
            </w:r>
          </w:p>
        </w:tc>
        <w:tc>
          <w:tcPr>
            <w:tcW w:type="dxa" w:w="5750"/>
            <w:shd w:fill="f5f7fc" w:val="clear"/>
            <w:tcMar>
              <w:top w:type="dxa" w:w="80"/>
              <w:left w:type="dxa" w:w="120"/>
              <w:bottom w:type="dxa" w:w="80"/>
              <w:right w:type="dxa" w:w="120"/>
            </w:tcMar>
          </w:tcPr>
          <w:p>
            <w:r>
              <w:rPr>
                <w:rFonts w:ascii="Calibri" w:cs="Calibri" w:eastAsia="Calibri" w:hAnsi="Calibri"/>
                <w:sz w:val="20"/>
                <w:szCs w:val="20"/>
              </w:rPr>
              <w:t xml:space="preserve">Indicates whether the AI (Claude) is configured</w:t>
            </w:r>
          </w:p>
        </w:tc>
      </w:tr>
      <w:tr>
        <w:tc>
          <w:tcPr>
            <w:tcW w:type="dxa" w:w="3600"/>
            <w:shd w:fill="FFFFFF" w:val="clear"/>
            <w:tcMar>
              <w:top w:type="dxa" w:w="80"/>
              <w:left w:type="dxa" w:w="120"/>
              <w:bottom w:type="dxa" w:w="80"/>
              <w:right w:type="dxa" w:w="120"/>
            </w:tcMar>
          </w:tcPr>
          <w:p>
            <w:r>
              <w:rPr>
                <w:rFonts w:ascii="Calibri" w:cs="Calibri" w:eastAsia="Calibri" w:hAnsi="Calibri"/>
                <w:sz w:val="20"/>
                <w:szCs w:val="20"/>
              </w:rPr>
              <w:t xml:space="preserve">POST /api/ia/clasificar</w:t>
            </w:r>
          </w:p>
        </w:tc>
        <w:tc>
          <w:tcPr>
            <w:tcW w:type="dxa" w:w="5750"/>
            <w:shd w:fill="FFFFFF" w:val="clear"/>
            <w:tcMar>
              <w:top w:type="dxa" w:w="80"/>
              <w:left w:type="dxa" w:w="120"/>
              <w:bottom w:type="dxa" w:w="80"/>
              <w:right w:type="dxa" w:w="120"/>
            </w:tcMar>
          </w:tcPr>
          <w:p>
            <w:r>
              <w:rPr>
                <w:rFonts w:ascii="Calibri" w:cs="Calibri" w:eastAsia="Calibri" w:hAnsi="Calibri"/>
                <w:sz w:val="20"/>
                <w:szCs w:val="20"/>
              </w:rPr>
              <w:t xml:space="preserve">AI second opinion on a BORA notice</w:t>
            </w:r>
          </w:p>
        </w:tc>
      </w:tr>
      <w:tr>
        <w:tc>
          <w:tcPr>
            <w:tcW w:type="dxa" w:w="3600"/>
            <w:shd w:fill="f5f7fc" w:val="clear"/>
            <w:tcMar>
              <w:top w:type="dxa" w:w="80"/>
              <w:left w:type="dxa" w:w="120"/>
              <w:bottom w:type="dxa" w:w="80"/>
              <w:right w:type="dxa" w:w="120"/>
            </w:tcMar>
          </w:tcPr>
          <w:p>
            <w:r>
              <w:rPr>
                <w:rFonts w:ascii="Calibri" w:cs="Calibri" w:eastAsia="Calibri" w:hAnsi="Calibri"/>
                <w:sz w:val="20"/>
                <w:szCs w:val="20"/>
              </w:rPr>
              <w:t xml:space="preserve">POST /api/ia/explicar-riesgo</w:t>
            </w:r>
          </w:p>
        </w:tc>
        <w:tc>
          <w:tcPr>
            <w:tcW w:type="dxa" w:w="5750"/>
            <w:shd w:fill="f5f7fc" w:val="clear"/>
            <w:tcMar>
              <w:top w:type="dxa" w:w="80"/>
              <w:left w:type="dxa" w:w="120"/>
              <w:bottom w:type="dxa" w:w="80"/>
              <w:right w:type="dxa" w:w="120"/>
            </w:tcMar>
          </w:tcPr>
          <w:p>
            <w:r>
              <w:rPr>
                <w:rFonts w:ascii="Calibri" w:cs="Calibri" w:eastAsia="Calibri" w:hAnsi="Calibri"/>
                <w:sz w:val="20"/>
                <w:szCs w:val="20"/>
              </w:rPr>
              <w:t xml:space="preserve">Plain-language explanation of a risk score</w:t>
            </w:r>
          </w:p>
        </w:tc>
      </w:tr>
      <w:tr>
        <w:tc>
          <w:tcPr>
            <w:tcW w:type="dxa" w:w="3600"/>
            <w:shd w:fill="FFFFFF" w:val="clear"/>
            <w:tcMar>
              <w:top w:type="dxa" w:w="80"/>
              <w:left w:type="dxa" w:w="120"/>
              <w:bottom w:type="dxa" w:w="80"/>
              <w:right w:type="dxa" w:w="120"/>
            </w:tcMar>
          </w:tcPr>
          <w:p>
            <w:r>
              <w:rPr>
                <w:rFonts w:ascii="Calibri" w:cs="Calibri" w:eastAsia="Calibri" w:hAnsi="Calibri"/>
                <w:sz w:val="20"/>
                <w:szCs w:val="20"/>
              </w:rPr>
              <w:t xml:space="preserve">GET /health</w:t>
            </w:r>
          </w:p>
        </w:tc>
        <w:tc>
          <w:tcPr>
            <w:tcW w:type="dxa" w:w="5750"/>
            <w:shd w:fill="FFFFFF" w:val="clear"/>
            <w:tcMar>
              <w:top w:type="dxa" w:w="80"/>
              <w:left w:type="dxa" w:w="120"/>
              <w:bottom w:type="dxa" w:w="80"/>
              <w:right w:type="dxa" w:w="120"/>
            </w:tcMar>
          </w:tcPr>
          <w:p>
            <w:r>
              <w:rPr>
                <w:rFonts w:ascii="Calibri" w:cs="Calibri" w:eastAsia="Calibri" w:hAnsi="Calibri"/>
                <w:sz w:val="20"/>
                <w:szCs w:val="20"/>
              </w:rPr>
              <w:t xml:space="preserve">Service health check</w:t>
            </w:r>
          </w:p>
        </w:tc>
      </w:tr>
      <w:tr>
        <w:tc>
          <w:tcPr>
            <w:tcW w:type="dxa" w:w="3600"/>
            <w:shd w:fill="f5f7fc" w:val="clear"/>
            <w:tcMar>
              <w:top w:type="dxa" w:w="80"/>
              <w:left w:type="dxa" w:w="120"/>
              <w:bottom w:type="dxa" w:w="80"/>
              <w:right w:type="dxa" w:w="120"/>
            </w:tcMar>
          </w:tcPr>
          <w:p>
            <w:r>
              <w:rPr>
                <w:rFonts w:ascii="Calibri" w:cs="Calibri" w:eastAsia="Calibri" w:hAnsi="Calibri"/>
                <w:sz w:val="20"/>
                <w:szCs w:val="20"/>
              </w:rPr>
              <w:t xml:space="preserve">GET /docs</w:t>
            </w:r>
          </w:p>
        </w:tc>
        <w:tc>
          <w:tcPr>
            <w:tcW w:type="dxa" w:w="5750"/>
            <w:shd w:fill="f5f7fc" w:val="clear"/>
            <w:tcMar>
              <w:top w:type="dxa" w:w="80"/>
              <w:left w:type="dxa" w:w="120"/>
              <w:bottom w:type="dxa" w:w="80"/>
              <w:right w:type="dxa" w:w="120"/>
            </w:tcMar>
          </w:tcPr>
          <w:p>
            <w:r>
              <w:rPr>
                <w:rFonts w:ascii="Calibri" w:cs="Calibri" w:eastAsia="Calibri" w:hAnsi="Calibri"/>
                <w:sz w:val="20"/>
                <w:szCs w:val="20"/>
              </w:rPr>
              <w:t xml:space="preserve">Interactive documentation (Swagger UI)</w:t>
            </w:r>
          </w:p>
        </w:tc>
      </w:tr>
    </w:tbl>
    <w:p>
      <w:r>
        <w:br w:type="page"/>
      </w:r>
    </w:p>
    <w:p>
      <w:pPr>
        <w:pStyle w:val="Heading1"/>
        <w:pBdr>
          <w:bottom w:val="single" w:color="2b4fce" w:sz="6" w:space="4"/>
        </w:pBdr>
        <w:spacing w:after="160" w:before="400"/>
      </w:pPr>
      <w:r>
        <w:rPr>
          <w:rFonts w:ascii="Calibri" w:cs="Calibri" w:eastAsia="Calibri" w:hAnsi="Calibri"/>
          <w:b/>
          <w:bCs/>
          <w:color w:val="2b4fce"/>
          <w:sz w:val="32"/>
          <w:szCs w:val="32"/>
        </w:rPr>
        <w:t xml:space="preserve">11. Recommended workflow</w:t>
      </w:r>
    </w:p>
    <w:p>
      <w:pPr>
        <w:pStyle w:val="ListParagraph"/>
        <w:numPr>
          <w:ilvl w:val="0"/>
          <w:numId w:val="5"/>
        </w:numPr>
        <w:spacing w:after="80" w:line="280"/>
      </w:pPr>
      <w:r>
        <w:rPr>
          <w:rFonts w:ascii="Calibri" w:cs="Calibri" w:eastAsia="Calibri" w:hAnsi="Calibri"/>
          <w:sz w:val="22"/>
          <w:szCs w:val="22"/>
        </w:rPr>
        <w:t xml:space="preserve">Every morning: open Live Analysis and run the day's cycle.</w:t>
      </w:r>
    </w:p>
    <w:p>
      <w:pPr>
        <w:pStyle w:val="ListParagraph"/>
        <w:numPr>
          <w:ilvl w:val="0"/>
          <w:numId w:val="5"/>
        </w:numPr>
        <w:spacing w:after="80" w:line="280"/>
      </w:pPr>
      <w:r>
        <w:rPr>
          <w:rFonts w:ascii="Calibri" w:cs="Calibri" w:eastAsia="Calibri" w:hAnsi="Calibri"/>
          <w:sz w:val="22"/>
          <w:szCs w:val="22"/>
        </w:rPr>
        <w:t xml:space="preserve">Check the Dashboard for any new high-risk alerts.</w:t>
      </w:r>
    </w:p>
    <w:p>
      <w:pPr>
        <w:pStyle w:val="ListParagraph"/>
        <w:numPr>
          <w:ilvl w:val="0"/>
          <w:numId w:val="5"/>
        </w:numPr>
        <w:spacing w:after="80" w:line="280"/>
      </w:pPr>
      <w:r>
        <w:rPr>
          <w:rFonts w:ascii="Calibri" w:cs="Calibri" w:eastAsia="Calibri" w:hAnsi="Calibri"/>
          <w:sz w:val="22"/>
          <w:szCs w:val="22"/>
        </w:rPr>
        <w:t xml:space="preserve">In Tenders, filter by "No CUIT" to identify notices that need manual review.</w:t>
      </w:r>
    </w:p>
    <w:p>
      <w:pPr>
        <w:pStyle w:val="ListParagraph"/>
        <w:numPr>
          <w:ilvl w:val="0"/>
          <w:numId w:val="5"/>
        </w:numPr>
        <w:spacing w:after="80" w:line="280"/>
      </w:pPr>
      <w:r>
        <w:rPr>
          <w:rFonts w:ascii="Calibri" w:cs="Calibri" w:eastAsia="Calibri" w:hAnsi="Calibri"/>
          <w:sz w:val="22"/>
          <w:szCs w:val="22"/>
        </w:rPr>
        <w:t xml:space="preserve">Check the ✓/⚠️ icons next to the CUIT before treating an award with an extracted CUIT as reliable.</w:t>
      </w:r>
    </w:p>
    <w:p>
      <w:pPr>
        <w:pStyle w:val="ListParagraph"/>
        <w:numPr>
          <w:ilvl w:val="0"/>
          <w:numId w:val="5"/>
        </w:numPr>
        <w:spacing w:after="80" w:line="280"/>
      </w:pPr>
      <w:r>
        <w:rPr>
          <w:rFonts w:ascii="Calibri" w:cs="Calibri" w:eastAsia="Calibri" w:hAnsi="Calibri"/>
          <w:sz w:val="22"/>
          <w:szCs w:val="22"/>
        </w:rPr>
        <w:t xml:space="preserve">Pay special attention to any row marked 🌍 INTERNATIONAL ALERT.</w:t>
      </w:r>
    </w:p>
    <w:p>
      <w:pPr>
        <w:pStyle w:val="ListParagraph"/>
        <w:numPr>
          <w:ilvl w:val="0"/>
          <w:numId w:val="5"/>
        </w:numPr>
        <w:spacing w:after="80" w:line="280"/>
      </w:pPr>
      <w:r>
        <w:rPr>
          <w:rFonts w:ascii="Calibri" w:cs="Calibri" w:eastAsia="Calibri" w:hAnsi="Calibri"/>
          <w:sz w:val="22"/>
          <w:szCs w:val="22"/>
        </w:rPr>
        <w:t xml:space="preserve">Sort by XAI Index to prioritize review of the day's most critical cases.</w:t>
      </w:r>
    </w:p>
    <w:p>
      <w:pPr>
        <w:pStyle w:val="Heading1"/>
        <w:pBdr>
          <w:bottom w:val="single" w:color="2b4fce" w:sz="6" w:space="4"/>
        </w:pBdr>
        <w:spacing w:after="160" w:before="400"/>
      </w:pPr>
      <w:r>
        <w:rPr>
          <w:rFonts w:ascii="Calibri" w:cs="Calibri" w:eastAsia="Calibri" w:hAnsi="Calibri"/>
          <w:b/>
          <w:bCs/>
          <w:color w:val="2b4fce"/>
          <w:sz w:val="32"/>
          <w:szCs w:val="32"/>
        </w:rPr>
        <w:t xml:space="preserve">12. Disclaimer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ffe9e9" w:val="clear"/>
            <w:tcMar>
              <w:top w:type="dxa" w:w="140"/>
              <w:left w:type="dxa" w:w="180"/>
              <w:bottom w:type="dxa" w:w="140"/>
              <w:right w:type="dxa" w:w="180"/>
            </w:tcMar>
          </w:tcPr>
          <w:p>
            <w:pPr>
              <w:spacing w:after="0" w:line="280"/>
            </w:pPr>
            <w:r>
              <w:rPr>
                <w:rFonts w:ascii="Calibri" w:cs="Calibri" w:eastAsia="Calibri" w:hAnsi="Calibri"/>
                <w:color w:val="3a3200"/>
                <w:sz w:val="21"/>
                <w:szCs w:val="21"/>
              </w:rPr>
              <w:t xml:space="preserve">This tool is experimental and academic in nature. Data comes from official public sources of the Argentine State. Results are algorithmic risk indicators — they do not imply a value judgment, accusation, or determination of liability against any company, agency or person. The goal is to promote transparency and informed public debate about government spending.</w:t>
            </w:r>
          </w:p>
        </w:tc>
      </w:tr>
    </w:tbl>
    <w:p>
      <w:pPr>
        <w:spacing w:after="140" w:line="300"/>
      </w:pPr>
      <w:r>
        <w:rPr>
          <w:rFonts w:ascii="Calibri" w:cs="Calibri" w:eastAsia="Calibri" w:hAnsi="Calibri"/>
          <w:b w:val="false"/>
          <w:bCs w:val="false"/>
          <w:i w:val="false"/>
          <w:iCs w:val="false"/>
          <w:color w:val="222222"/>
          <w:sz w:val="22"/>
          <w:szCs w:val="22"/>
        </w:rPr>
        <w:t xml:space="preserve"/>
      </w:r>
    </w:p>
    <w:p>
      <w:pPr>
        <w:spacing w:after="140" w:line="300"/>
      </w:pPr>
      <w:r>
        <w:rPr>
          <w:rFonts w:ascii="Calibri" w:cs="Calibri" w:eastAsia="Calibri" w:hAnsi="Calibri"/>
          <w:b w:val="false"/>
          <w:bCs w:val="false"/>
          <w:i w:val="false"/>
          <w:iCs w:val="false"/>
          <w:color w:val="5a6480"/>
          <w:sz w:val="22"/>
          <w:szCs w:val="22"/>
        </w:rPr>
        <w:t xml:space="preserve">Contact: vhmonte@retina.ar / viny01958@gmail.com</w:t>
      </w:r>
    </w:p>
    <w:p>
      <w:pPr>
        <w:spacing w:after="140" w:line="300"/>
      </w:pPr>
      <w:r>
        <w:rPr>
          <w:rFonts w:ascii="Calibri" w:cs="Calibri" w:eastAsia="Calibri" w:hAnsi="Calibri"/>
          <w:b w:val="false"/>
          <w:bCs w:val="false"/>
          <w:i w:val="false"/>
          <w:iCs w:val="false"/>
          <w:color w:val="5a6480"/>
          <w:sz w:val="22"/>
          <w:szCs w:val="22"/>
        </w:rPr>
        <w:t xml:space="preserve">License: MIT — see the LICENSE file in the repository.</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abstractNum w:abstractNumId="4" w15:restartNumberingAfterBreak="0">
    <w:multiLevelType w:val="hybridMultilevel"/>
    <w:lvl w:ilvl="0" w15:tentative="1">
      <w:start w:val="1"/>
      <w:numFmt w:val="decimal"/>
      <w:lvlText w:val="%1."/>
      <w:lvlJc w:val="left"/>
      <w:pPr>
        <w:ind w:left="420" w:hanging="260"/>
      </w:pPr>
    </w:lvl>
  </w:abstractNum>
  <w:abstractNum w:abstractNumId="5"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vqlh6dzomngr1zjyr480" Type="http://schemas.openxmlformats.org/officeDocument/2006/relationships/hyperlink" Target="https://gobbocomprartgn-production.up.railway.app/" TargetMode="External"/><Relationship Id="rIds_izks14rt8muhdynbmco" Type="http://schemas.openxmlformats.org/officeDocument/2006/relationships/hyperlink" Target="https://doi.org/10.1108/JFC-04-2020-0062"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 XAI — User Manual</dc:title>
  <dc:creator>Ph.D. Vicente Humberto Monteverde</dc:creator>
  <dc:description>User manual for the Public Contracts and Tenders Monitor (Monitor XAI)</dc:description>
  <cp:lastModifiedBy>Un-named</cp:lastModifiedBy>
  <cp:revision>1</cp:revision>
  <dcterms:created xsi:type="dcterms:W3CDTF">2026-08-26T12:41:14.462Z</dcterms:created>
  <dcterms:modified xsi:type="dcterms:W3CDTF">2026-08-26T12:41:14.462Z</dcterms:modified>
</cp:coreProperties>
</file>

<file path=docProps/custom.xml><?xml version="1.0" encoding="utf-8"?>
<Properties xmlns="http://schemas.openxmlformats.org/officeDocument/2006/custom-properties" xmlns:vt="http://schemas.openxmlformats.org/officeDocument/2006/docPropsVTypes"/>
</file>