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Calibri" w:cs="Calibri" w:eastAsia="Calibri" w:hAnsi="Calibri"/>
          <w:b/>
          <w:bCs/>
          <w:color w:val="2b4fce"/>
          <w:sz w:val="56"/>
          <w:szCs w:val="56"/>
        </w:rPr>
        <w:t xml:space="preserve">Monitor XAI</w:t>
      </w:r>
    </w:p>
    <w:p>
      <w:pPr>
        <w:spacing w:after="60"/>
      </w:pPr>
      <w:r>
        <w:rPr>
          <w:rFonts w:ascii="Calibri" w:cs="Calibri" w:eastAsia="Calibri" w:hAnsi="Calibri"/>
          <w:color w:val="5a6480"/>
          <w:sz w:val="26"/>
          <w:szCs w:val="26"/>
        </w:rPr>
        <w:t xml:space="preserve">Monitor de Contratos y Licitaciones Públicas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a6480"/>
          <w:sz w:val="22"/>
          <w:szCs w:val="22"/>
        </w:rPr>
        <w:t xml:space="preserve">Detección automática de transferencias regresivas de ingresos en las contrataciones del Estado argentino</w:t>
      </w:r>
    </w:p>
    <w:p>
      <w:pPr>
        <w:spacing w:after="4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Manual de Usuario</w:t>
      </w:r>
    </w:p>
    <w:p>
      <w:pPr>
        <w:spacing w:after="20"/>
      </w:pPr>
      <w:r>
        <w:rPr>
          <w:rFonts w:ascii="Calibri" w:cs="Calibri" w:eastAsia="Calibri" w:hAnsi="Calibri"/>
          <w:color w:val="5a6480"/>
          <w:sz w:val="20"/>
          <w:szCs w:val="20"/>
        </w:rPr>
        <w:t xml:space="preserve">Basado en la Teoría de Fenómenos Corruptivos del Ph.D. Vicente Humberto Monteverde</w:t>
      </w:r>
    </w:p>
    <w:p>
      <w:pPr>
        <w:spacing w:after="20"/>
      </w:pPr>
      <w:hyperlink w:history="1" r:id="rId9wrvcif05rfmf7ug7qiqf">
        <w:r>
          <w:rPr>
            <w:rFonts w:ascii="Calibri" w:cs="Calibri" w:eastAsia="Calibri" w:hAnsi="Calibri"/>
            <w:color w:val="1155cc"/>
            <w:sz w:val="22"/>
            <w:szCs w:val="22"/>
            <w:u w:val="single"/>
          </w:rPr>
          <w:t xml:space="preserve">gobbocomprartgn-production.up.railway.app</w:t>
        </w:r>
      </w:hyperlink>
    </w:p>
    <w:p>
      <w:pPr>
        <w:spacing w:after="400"/>
      </w:pPr>
      <w:r>
        <w:rPr>
          <w:rFonts w:ascii="Calibri" w:cs="Calibri" w:eastAsia="Calibri" w:hAnsi="Calibri"/>
          <w:color w:val="5a6480"/>
          <w:sz w:val="18"/>
          <w:szCs w:val="18"/>
        </w:rPr>
        <w:t xml:space="preserve">Versión del manual: agosto de 2026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1. ¿Qué es el Monitor XAI?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2. Fundamento teórico — Los 7 escenarios de la Matriz XAI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3. Estructura de navegación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4. Dashboard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5. Análisis en Vivo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6. Licitaciones — Flujo Cruzado BORA → Comprar → TGN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7. Validación de formato de CUIT (función nueva)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8. Cruce internacional de sanciones (MEACI)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9. Documentación e interpretación de resultados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10. API REST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11. Flujo de trabajo recomendado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12. Aviso</w:t>
      </w:r>
    </w:p>
    <w:p>
      <w:r>
        <w:br w:type="page"/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1. ¿Qué es el Monitor XAI?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El Monitor XAI (eXplainable Artificial Intelligence) es una plataforma web de auditoría automatizada del gasto público argentino. Cruza tres fuentes oficiales — el Boletín Oficial de la República Argentina (BORA), el portal Comprar.gob.ar y la Tesorería General de la Nación (TGN) — y aplica una matriz de 7 escenarios desarrollada por el Ph.D. Vicente Humberto Monteverde para detectar patrones de transferencia regresiva de ingresos: decisiones estatales legales que, sistemáticamente, mueven recursos desde sectores con menos poder de negociación hacia sectores con más.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6e5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 w:line="280"/>
            </w:pPr>
            <w:r>
              <w:rPr>
                <w:rFonts w:ascii="Calibri" w:cs="Calibri" w:eastAsia="Calibri" w:hAnsi="Calibri"/>
                <w:color w:val="3a3200"/>
                <w:sz w:val="21"/>
                <w:szCs w:val="21"/>
              </w:rPr>
              <w:t xml:space="preserve">Importante: el sistema NO detecta delitos penales, no es un canal de denuncia y no analiza la corrupción de personas individuales.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3a3200"/>
                <w:sz w:val="21"/>
                <w:szCs w:val="21"/>
              </w:rPr>
              <w:t xml:space="preserve">Lo que SÍ hace: analiza decisiones discrecionales del Estado, detecta transferencias económicas regresivas y genera alertas tempranas basadas en evidencia, como herramienta de transparencia.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1.1 Las tres fuentes de datos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Boletín Oficial (BORA) — Sección 3ª: avisos de licitaciones y adjudicaciones publicados por los organismos del Estado.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Comprar.gob.ar: portal oficial de compras públicas, con el detalle de cada proceso de contratación.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Tesorería General de la Nación (TGN): confirma si el proveedor adjudicado efectivamente cobró el pago.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Cuando un mismo contrato aparece en las tres fuentes — publicado en BORA, registrado en Comprar.gob.ar y pagado por la TGN — el sistema lo marca como "Flujo Completo", es decir, con trazabilidad total desde la decisión hasta el cobro.</w:t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2. Fundamento teórico — Los 7 escenarios de la Matriz XAI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La Gran Corrupción no se limita a actos ilegales. Según la investigación del Dr. Monteverde (Journal of Financial Crime, 2020), la corrupción moderna se diversificó en fenómenos legales que producen las mismas consecuencias económicas: transferencias regresivas de ingresos disfrazadas de política pública.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650"/>
        <w:gridCol w:w="3500"/>
      </w:tblGrid>
      <w:tr>
        <w:trPr>
          <w:tblHeader/>
        </w:trPr>
        <w:tc>
          <w:tcPr>
            <w:tcW w:type="dxa" w:w="4200"/>
            <w:shd w:fill="2b4fce" w:color="2b4fce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Escenario</w:t>
            </w:r>
          </w:p>
        </w:tc>
        <w:tc>
          <w:tcPr>
            <w:tcW w:type="dxa" w:w="1650"/>
            <w:shd w:fill="2b4fce" w:color="2b4fce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Peso XAI</w:t>
            </w:r>
          </w:p>
        </w:tc>
        <w:tc>
          <w:tcPr>
            <w:tcW w:type="dxa" w:w="3500"/>
            <w:shd w:fill="2b4fce" w:color="2b4fce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Dirección de la transferencia</w:t>
            </w:r>
          </w:p>
        </w:tc>
      </w:tr>
      <w:tr>
        <w:tc>
          <w:tcPr>
            <w:tcW w:type="dxa" w:w="42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Privatización / Concesión</w:t>
            </w:r>
          </w:p>
        </w:tc>
        <w:tc>
          <w:tcPr>
            <w:tcW w:type="dxa" w:w="16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9.0</w:t>
            </w:r>
          </w:p>
        </w:tc>
        <w:tc>
          <w:tcPr>
            <w:tcW w:type="dxa" w:w="3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Estado → Privados</w:t>
            </w:r>
          </w:p>
        </w:tc>
      </w:tr>
      <w:tr>
        <w:tc>
          <w:tcPr>
            <w:tcW w:type="dxa" w:w="42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Obra Pública / Contratos</w:t>
            </w:r>
          </w:p>
        </w:tc>
        <w:tc>
          <w:tcPr>
            <w:tcW w:type="dxa" w:w="16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8.0</w:t>
            </w:r>
          </w:p>
        </w:tc>
        <w:tc>
          <w:tcPr>
            <w:tcW w:type="dxa" w:w="35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Estado → Empresas contratistas</w:t>
            </w:r>
          </w:p>
        </w:tc>
      </w:tr>
      <w:tr>
        <w:tc>
          <w:tcPr>
            <w:tcW w:type="dxa" w:w="42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Tarifas de Servicios Públicos</w:t>
            </w:r>
          </w:p>
        </w:tc>
        <w:tc>
          <w:tcPr>
            <w:tcW w:type="dxa" w:w="16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7.0</w:t>
            </w:r>
          </w:p>
        </w:tc>
        <w:tc>
          <w:tcPr>
            <w:tcW w:type="dxa" w:w="3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Usuarios → Concesionarias</w:t>
            </w:r>
          </w:p>
        </w:tc>
      </w:tr>
      <w:tr>
        <w:tc>
          <w:tcPr>
            <w:tcW w:type="dxa" w:w="42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Precios Regulados</w:t>
            </w:r>
          </w:p>
        </w:tc>
        <w:tc>
          <w:tcPr>
            <w:tcW w:type="dxa" w:w="16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6.0</w:t>
            </w:r>
          </w:p>
        </w:tc>
        <w:tc>
          <w:tcPr>
            <w:tcW w:type="dxa" w:w="35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Consumidores → Productores</w:t>
            </w:r>
          </w:p>
        </w:tc>
      </w:tr>
      <w:tr>
        <w:tc>
          <w:tcPr>
            <w:tcW w:type="dxa" w:w="42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Salarios y Paritarias</w:t>
            </w:r>
          </w:p>
        </w:tc>
        <w:tc>
          <w:tcPr>
            <w:tcW w:type="dxa" w:w="16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5.0</w:t>
            </w:r>
          </w:p>
        </w:tc>
        <w:tc>
          <w:tcPr>
            <w:tcW w:type="dxa" w:w="3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Asalariados → Empleadores</w:t>
            </w:r>
          </w:p>
        </w:tc>
      </w:tr>
      <w:tr>
        <w:tc>
          <w:tcPr>
            <w:tcW w:type="dxa" w:w="42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Jubilaciones / Pensiones</w:t>
            </w:r>
          </w:p>
        </w:tc>
        <w:tc>
          <w:tcPr>
            <w:tcW w:type="dxa" w:w="16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10.0</w:t>
            </w:r>
          </w:p>
        </w:tc>
        <w:tc>
          <w:tcPr>
            <w:tcW w:type="dxa" w:w="35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Jubilados → Estado</w:t>
            </w:r>
          </w:p>
        </w:tc>
      </w:tr>
      <w:tr>
        <w:tc>
          <w:tcPr>
            <w:tcW w:type="dxa" w:w="42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Traslado de Impuestos</w:t>
            </w:r>
          </w:p>
        </w:tc>
        <w:tc>
          <w:tcPr>
            <w:tcW w:type="dxa" w:w="16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9.0</w:t>
            </w:r>
          </w:p>
        </w:tc>
        <w:tc>
          <w:tcPr>
            <w:tcW w:type="dxa" w:w="35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Contribuyentes → Estado</w:t>
            </w:r>
          </w:p>
        </w:tc>
      </w:tr>
    </w:tbl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Cada proceso analizado recibe un Índice XAI de 0 a 10 según el escenario detectado y el contexto del contrato (monto, tipo de proceso, organismo, reincidencia del proveedor, etc.). A mayor índice, mayor nivel de discrecionalidad detectado.</w:t>
      </w:r>
    </w:p>
    <w:p>
      <w:pPr>
        <w:pStyle w:val="Heading3"/>
        <w:spacing w:after="90" w:before="18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Referencia académica</w:t>
      </w:r>
    </w:p>
    <w:p>
      <w:pPr>
        <w:spacing w:after="140" w:line="300"/>
      </w:pPr>
      <w:r>
        <w:rPr>
          <w:rFonts w:ascii="Calibri" w:cs="Calibri" w:eastAsia="Calibri" w:hAnsi="Calibri"/>
          <w:sz w:val="22"/>
          <w:szCs w:val="22"/>
        </w:rPr>
        <w:t xml:space="preserve">Monteverde, V. H. (2020).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Great corruption – theory of corrupt phenomena</w:t>
      </w:r>
      <w:r>
        <w:rPr>
          <w:rFonts w:ascii="Calibri" w:cs="Calibri" w:eastAsia="Calibri" w:hAnsi="Calibri"/>
          <w:sz w:val="22"/>
          <w:szCs w:val="22"/>
        </w:rPr>
        <w:t xml:space="preserve">. Journal of Financial Crime, Vol. 28 No. 2, pp. 580-595. </w:t>
      </w:r>
    </w:p>
    <w:p>
      <w:hyperlink w:history="1" r:id="rId3tebdtk92i2h-wb_vhhus">
        <w:r>
          <w:rPr>
            <w:rFonts w:ascii="Calibri" w:cs="Calibri" w:eastAsia="Calibri" w:hAnsi="Calibri"/>
            <w:color w:val="1155cc"/>
            <w:sz w:val="22"/>
            <w:szCs w:val="22"/>
            <w:u w:val="single"/>
          </w:rPr>
          <w:t xml:space="preserve">https://doi.org/10.1108/JFC-04-2020-0062</w:t>
        </w:r>
      </w:hyperlink>
    </w:p>
    <w:p>
      <w:r>
        <w:br w:type="page"/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3. Estructura de navegación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El sitio tiene una barra de navegación superior fija con cinco secciones principales, accesibles desde cualquier pantalla: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Dashboard — resumen ejecutivo con las métricas y gráficos del último análisis.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Análisis en Vivo — pantalla operativa para ejecutar el scraping y el análisis del día.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Licitaciones — flujo cruzado BORA → Comprar.gob.ar → TGN, con trazabilidad completa por contrato.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Documentación — marco teórico, guía de uso y referencia de la API.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Admin (protegido por clave) — estadísticas de uso y donaciones.</w:t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4. Dashboard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Es la pantalla principal del sistema. Muestra un resumen ejecutivo actualizado con los resultados del último análisis ejecutado.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4.1 Métricas principales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Cuatro tarjetas superiores resumen el estado del sistema: total de procesos analizados, alertas de alto riesgo, escenario más frecuente e índice XAI promedio del período.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4.2 Último reporte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Debajo de las métricas se indica el archivo del último reporte generado — por ejemplo, 2026-03 / reporte_2026-03-15.xlsx — que marca la fecha del scraping más reciente disponible. Se puede descargar haciendo clic en el enlace.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4.3 Gráficos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Distribución por Tipo de Fenómeno — gráfico de barras con la frecuencia de cada uno de los 7 escenarios en el período analizado.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Nivel de Riesgo — distribución proporcional de los procesos según su categoría de riesgo.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Detalle del Análisis Algorítmico — tabla expandible con el índice XAI, escenario, organismo, proveedor y monto de cada proceso.</w:t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5. Análisis en Vivo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Es la sección operativa: desde aquí se ejecuta el scraper y se aplica la Matriz XAI sobre los datos del día seleccionado, conectando en tiempo real con Comprar.gob.ar.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5.1 Selector de día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Un calendario muestra un botón por cada día hábil disponible. El día que ya tiene un reporte procesado aparece marcado con un tilde (✓) y resaltado.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5.2 Ciclo de Análisis Completo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Al pulsar el botón principal, el sistema ejecuta la siguiente secuencia: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Conexión con Comprar.gob.ar — accede al portal de compras públicas.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Extracción de datos — obtiene los procesos del día seleccionado.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Cruce con BORA — verifica las publicaciones del Boletín Oficial.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Consulta TGN — verifica si los proveedores cobraron en Tesorería.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Aplicación de la Matriz XAI — calcula el índice de discrecionalidad de cada proceso.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Generación del reporte — guarda el Excel con todos los resultados.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Redireccionamiento — muestra los resultados en Dashboard y Licitaciones.</w:t>
      </w:r>
    </w:p>
    <w:p>
      <w:r>
        <w:br w:type="page"/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6. Licitaciones — Flujo Cruzado BORA → Comprar → TGN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Esta es la pantalla más informativa para el seguimiento diario: combina las tres fuentes en una vista unificada, mostrando el estado de cada contrato desde su publicación hasta su cobro.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6.1 Barra de estado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Muestra la fecha del último procesamiento y las fuentes activas — por ejemplo: "Datos al: 15/03/2026 · Fuentes: BORA Sección 3ra · Comprar.gob.ar · TGN". El botón "Actualizar datos en vivo" fuerza un nuevo scraping sin salir de la pantalla.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6.2 Métricas del flujo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Total Publicaciones BORA — todos los avisos de la Sección 3ra del día, incluyendo licitaciones, adjudicaciones y otros actos.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Con CUIT Extraído — publicaciones donde el algoritmo pudo identificar el CUIT del proveedor adjudicado.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Sin CUIT (pendientes) — publicaciones donde no se pudo extraer el CUIT y requieren revisión manual.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Flujo Completo BORA→TGN — contratos con trazabilidad total: aparecen en BORA, en Comprar.gob.ar y tienen confirmación de cobro en TGN.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6.3 Tabla de adjudicaciones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Cada fila muestra el aviso, el organismo contratante, el tipo de proceso, el proveedor adjudicado, su CUIT, el monto y el enlace a la fuente original. Junto al CUIT aparecen dos señales adicionales, descriptas en detalle en la Sección 7: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✓ / ⚠️ — validación de formato del CUIT (dígito verificador AFIP).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🌍 ALERTA INTERNACIONAL — si el CUIT del proveedor figura en la base de sanciones internacionales cruzada por MEACI.</w:t>
      </w:r>
    </w:p>
    <w:p>
      <w:r>
        <w:br w:type="page"/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7. Validación de formato de CUIT (función nueva)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Como cada CUIT de proveedor se extrae automáticamente del texto libre de un aviso del Boletín Oficial (a veces publicado como PDF escaneado), es común que la extracción falle o quede mal tipeada. El sistema ahora valida el formato de cada CUIT con el algoritmo real de dígito verificador módulo 11 que usa AFIP.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7.1 Qué confirma y qué no confirma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8f3ff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 w:line="280"/>
            </w:pPr>
            <w:r>
              <w:rPr>
                <w:rFonts w:ascii="Calibri" w:cs="Calibri" w:eastAsia="Calibri" w:hAnsi="Calibri"/>
                <w:color w:val="3a3200"/>
                <w:sz w:val="21"/>
                <w:szCs w:val="21"/>
              </w:rPr>
              <w:t xml:space="preserve">✓  SÍ confirma que el número tiene 11 dígitos y que el dígito verificador es matemáticamente correcto — es decir, que el CUIT está bien formado y probablemente bien extraído del aviso.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3a3200"/>
                <w:sz w:val="21"/>
                <w:szCs w:val="21"/>
              </w:rPr>
              <w:t xml:space="preserve">⚠️  NO consulta ningún padrón oficial: no confirma que el CUIT esté efectivamente inscripto en AFIP, ni devuelve la razón social, actividad o estado real del contribuyente. Eso requiere acceso al webservice oficial de AFIP (padrón A13) mediante certificado digital, que este sistema no integra por ahora.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7.2 Dónde se ve en el sitio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En la pestaña Licitaciones → Adjudicaciones, cada CUIT se muestra junto a un ícono: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✓ verde — el dígito verificador coincide: formato válido.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⚠️ rojo — el dígito verificador no coincide: posible error de extracción del aviso, conviene revisar el aviso original.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7.3 Acceso programático (API)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La validación también está disponible como endpoint REST, para integrarla con otras herramientas:</w:t>
      </w:r>
    </w:p>
    <w:p>
      <w:pPr>
        <w:pBdr>
          <w:top w:val="single" w:color="cfd6ea" w:sz="2"/>
          <w:bottom w:val="single" w:color="cfd6ea" w:sz="2"/>
          <w:left w:val="single" w:color="cfd6ea" w:sz="2"/>
          <w:right w:val="single" w:color="cfd6ea" w:sz="2"/>
        </w:pBdr>
        <w:shd w:fill="f0f2f8" w:val="clear"/>
        <w:spacing w:after="140"/>
      </w:pPr>
      <w:r>
        <w:rPr>
          <w:rFonts w:ascii="Consolas" w:cs="Consolas" w:eastAsia="Consolas" w:hAnsi="Consolas"/>
          <w:color w:val="1a1a2e"/>
          <w:sz w:val="19"/>
          <w:szCs w:val="19"/>
        </w:rPr>
        <w:t xml:space="preserve">GET /api/cuit/validar?cuit=30-12345678-1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Respuesta de ejemplo:</w:t>
      </w:r>
    </w:p>
    <w:p>
      <w:pPr>
        <w:pBdr>
          <w:top w:val="single" w:color="cfd6ea" w:sz="2"/>
          <w:bottom w:val="single" w:color="cfd6ea" w:sz="2"/>
          <w:left w:val="single" w:color="cfd6ea" w:sz="2"/>
          <w:right w:val="single" w:color="cfd6ea" w:sz="2"/>
        </w:pBdr>
        <w:shd w:fill="f0f2f8" w:val="clear"/>
        <w:spacing w:after="140"/>
      </w:pPr>
      <w:r>
        <w:rPr>
          <w:rFonts w:ascii="Consolas" w:cs="Consolas" w:eastAsia="Consolas" w:hAnsi="Consolas"/>
          <w:color w:val="1a1a2e"/>
          <w:sz w:val="19"/>
          <w:szCs w:val="19"/>
        </w:rPr>
        <w:t xml:space="preserve">{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  "cuit": "30-12345678-1",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  "cuit_normalizado": "30-12345678-1",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  "valido_formato": true,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  "motivo": null,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  "tipo_persona": "Jurídica",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  "fuente": "Validación local (módulo 11 AFIP)"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}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Para validar varios CUITs en una sola llamada (hasta 200):</w:t>
      </w:r>
    </w:p>
    <w:p>
      <w:pPr>
        <w:pBdr>
          <w:top w:val="single" w:color="cfd6ea" w:sz="2"/>
          <w:bottom w:val="single" w:color="cfd6ea" w:sz="2"/>
          <w:left w:val="single" w:color="cfd6ea" w:sz="2"/>
          <w:right w:val="single" w:color="cfd6ea" w:sz="2"/>
        </w:pBdr>
        <w:shd w:fill="f0f2f8" w:val="clear"/>
        <w:spacing w:after="140"/>
      </w:pPr>
      <w:r>
        <w:rPr>
          <w:rFonts w:ascii="Consolas" w:cs="Consolas" w:eastAsia="Consolas" w:hAnsi="Consolas"/>
          <w:color w:val="1a1a2e"/>
          <w:sz w:val="19"/>
          <w:szCs w:val="19"/>
        </w:rPr>
        <w:t xml:space="preserve">GET /api/cuit/validar-lote?cuits=30-12345678-1,20-12345678-6</w:t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8. Cruce internacional de sanciones (MEACI)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De forma independiente a la validación de formato, el sistema consulta un segundo servicio real — MEACI — que cruza el CUIT del proveedor adjudicado contra bases de sanciones internacionales. Si hay coincidencia, la fila del contrato muestra la etiqueta 🌍 ALERTA INTERNACIONAL.</w:t>
      </w:r>
    </w:p>
    <w:p>
      <w:pPr>
        <w:pBdr>
          <w:top w:val="single" w:color="cfd6ea" w:sz="2"/>
          <w:bottom w:val="single" w:color="cfd6ea" w:sz="2"/>
          <w:left w:val="single" w:color="cfd6ea" w:sz="2"/>
          <w:right w:val="single" w:color="cfd6ea" w:sz="2"/>
        </w:pBdr>
        <w:shd w:fill="f0f2f8" w:val="clear"/>
        <w:spacing w:after="140"/>
      </w:pPr>
      <w:r>
        <w:rPr>
          <w:rFonts w:ascii="Consolas" w:cs="Consolas" w:eastAsia="Consolas" w:hAnsi="Consolas"/>
          <w:color w:val="1a1a2e"/>
          <w:sz w:val="19"/>
          <w:szCs w:val="19"/>
        </w:rPr>
        <w:t xml:space="preserve">GET /api/cruce-cuit?cuit=30-12345678-1</w:t>
      </w:r>
      <w:r>
        <w:rPr>
          <w:rFonts w:ascii="Consolas" w:cs="Consolas" w:eastAsia="Consolas" w:hAnsi="Consolas"/>
          <w:color w:val="1a1a2e"/>
          <w:sz w:val="19"/>
          <w:szCs w:val="19"/>
        </w:rPr>
        <w:br/>
        <w:t xml:space="preserve">GET /api/cruce-cuits-bulk?cuits=cuit1,cuit2,cuit3   (máx. 50 por llamada)</w:t>
      </w:r>
    </w:p>
    <w:p>
      <w:r>
        <w:br w:type="page"/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9. Documentación e interpretación de resultados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9.1 Guía rápida de uso</w:t>
      </w:r>
    </w:p>
    <w:p>
      <w:pPr>
        <w:pStyle w:val="ListParagraph"/>
        <w:numPr>
          <w:ilvl w:val="0"/>
          <w:numId w:val="4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Ir a Análisis en Vivo y pulsar el botón 🚀 para ejecutar el scraping del día.</w:t>
      </w:r>
    </w:p>
    <w:p>
      <w:pPr>
        <w:pStyle w:val="ListParagraph"/>
        <w:numPr>
          <w:ilvl w:val="0"/>
          <w:numId w:val="4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En Dashboard, visualizar los resultados del análisis con las métricas y gráficos.</w:t>
      </w:r>
    </w:p>
    <w:p>
      <w:pPr>
        <w:pStyle w:val="ListParagraph"/>
        <w:numPr>
          <w:ilvl w:val="0"/>
          <w:numId w:val="4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Ordenar por Índice XAI para identificar los casos más críticos.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9.2 Interpretación del índice de riesgo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El Índice XAI es un número de 0 a 10 que mide el nivel de discrecionalidad detectado en cada proceso licitatorio. Cuanto más alto, mayor la probabilidad de que el proceso corresponda a alguno de los 7 escenarios de transferencia regresiva descriptos en la Sección 2.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a1a2e"/>
          <w:sz w:val="26"/>
          <w:szCs w:val="26"/>
        </w:rPr>
        <w:t xml:space="preserve">9.3 Descargas disponibles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📥 Descargar Artículo Original (Ph.D. Monteverde) — el paper académico en PDF.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📥 Descargar Instructivo — este manual, disponible también desde la sección Documentación del sitio.</w:t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10. API REST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El sistema expone una API REST construida con FastAPI. La documentación interactiva (Swagger UI) está disponible en /docs y permite probar cada endpoint desde el navegador.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50"/>
      </w:tblGrid>
      <w:tr>
        <w:trPr>
          <w:tblHeader/>
        </w:trPr>
        <w:tc>
          <w:tcPr>
            <w:tcW w:type="dxa" w:w="3600"/>
            <w:shd w:fill="2b4fce" w:color="2b4fce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Endpoint</w:t>
            </w:r>
          </w:p>
        </w:tc>
        <w:tc>
          <w:tcPr>
            <w:tcW w:type="dxa" w:w="5750"/>
            <w:shd w:fill="2b4fce" w:color="2b4fce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Descripción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/api/status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Estado general del sistema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/api/reportes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Lista de reportes disponibles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/api/dias-disponibles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Días con datos ya procesados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/api/licitaciones/datos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Datos del último reporte de licitaciones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POST /api/licitaciones/ejecutar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Ejecuta el ciclo de análisis manualmente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POST /api/analisis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Ejecuta un análisis programático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/api/marco-teorico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Detalle de la Matriz XAI (7 escenarios)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/api/cuit/validar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Valida el formato de un CUIT (nuevo, ver Sección 7)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/api/cuit/validar-lote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Valida el formato de varios CUITs (nuevo)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/api/cruce-cuit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Consulta sanciones internacionales (MEACI)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/api/cruce-cuits-bulk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Consulta sanciones para varios CUITs (MEACI)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/api/ia/status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Indica si la IA (Claude) está configurada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POST /api/ia/clasificar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Segunda opinión de la IA sobre un aviso BORA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POST /api/ia/explicar-riesgo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Explicación en lenguaje natural de un score de riesgo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/health</w:t>
            </w:r>
          </w:p>
        </w:tc>
        <w:tc>
          <w:tcPr>
            <w:tcW w:type="dxa" w:w="5750"/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Healthcheck del servicio</w:t>
            </w:r>
          </w:p>
        </w:tc>
      </w:tr>
      <w:tr>
        <w:tc>
          <w:tcPr>
            <w:tcW w:type="dxa" w:w="360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GET /docs</w:t>
            </w:r>
          </w:p>
        </w:tc>
        <w:tc>
          <w:tcPr>
            <w:tcW w:type="dxa" w:w="5750"/>
            <w:shd w:fill="f5f7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Documentación interactiva (Swagger UI)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11. Flujo de trabajo recomendado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Todas las mañanas: entrar a Análisis en Vivo y ejecutar el ciclo del día.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Revisar el Dashboard para ver si hay nuevas alertas de alto riesgo.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En Licitaciones, filtrar por "Sin CUIT" para identificar avisos que necesitan revisión manual.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Verificar los íconos ✓/⚠️ junto al CUIT antes de dar por buena una adjudicación con CUIT extraído.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Prestar especial atención a cualquier fila marcada 🌍 ALERTA INTERNACIONAL.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Ordenar por Índice XAI para priorizar el análisis de los casos más críticos del día.</w:t>
      </w:r>
    </w:p>
    <w:p>
      <w:pPr>
        <w:pStyle w:val="Heading1"/>
        <w:pBdr>
          <w:bottom w:val="single" w:color="2b4fce" w:sz="6" w:space="4"/>
        </w:pBdr>
        <w:spacing w:after="160" w:before="400"/>
      </w:pPr>
      <w:r>
        <w:rPr>
          <w:rFonts w:ascii="Calibri" w:cs="Calibri" w:eastAsia="Calibri" w:hAnsi="Calibri"/>
          <w:b/>
          <w:bCs/>
          <w:color w:val="2b4fce"/>
          <w:sz w:val="32"/>
          <w:szCs w:val="32"/>
        </w:rPr>
        <w:t xml:space="preserve">12. Aviso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e9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3a3200"/>
                <w:sz w:val="21"/>
                <w:szCs w:val="21"/>
              </w:rPr>
              <w:t xml:space="preserve">Esta herramienta es de carácter experimental y académico. Los datos provienen de fuentes públicas oficiales del Estado argentino. Los resultados son indicadores algorítmicos de riesgo — no implican juicio de valor, acusación ni determinación de responsabilidad sobre ninguna empresa, organismo o persona. El objetivo es promover la transparencia y el debate informado sobre el gasto público.</w:t>
            </w:r>
          </w:p>
        </w:tc>
      </w:tr>
    </w:tbl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480"/>
          <w:sz w:val="22"/>
          <w:szCs w:val="22"/>
        </w:rPr>
        <w:t xml:space="preserve">Contacto: vhmonte@retina.ar / viny01958@gmail.com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480"/>
          <w:sz w:val="22"/>
          <w:szCs w:val="22"/>
        </w:rPr>
        <w:t xml:space="preserve">Licencia: MIT — ver archivo LICENSE del repositorio.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rvcif05rfmf7ug7qiqf" Type="http://schemas.openxmlformats.org/officeDocument/2006/relationships/hyperlink" Target="https://gobbocomprartgn-production.up.railway.app/" TargetMode="External"/><Relationship Id="rId3tebdtk92i2h-wb_vhhus" Type="http://schemas.openxmlformats.org/officeDocument/2006/relationships/hyperlink" Target="https://doi.org/10.1108/JFC-04-2020-0062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 XAI — Manual de Usuario</dc:title>
  <dc:creator>Ph.D. Vicente Humberto Monteverde</dc:creator>
  <dc:description>Manual de usuario del Monitor de Contratos y Licitaciones Públicas (Monitor XAI)</dc:description>
  <cp:lastModifiedBy>Un-named</cp:lastModifiedBy>
  <cp:revision>1</cp:revision>
  <dcterms:created xsi:type="dcterms:W3CDTF">2026-08-26T12:41:14.326Z</dcterms:created>
  <dcterms:modified xsi:type="dcterms:W3CDTF">2026-08-26T12:41:14.326Z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